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6" w:rsidRDefault="00DF3963" w:rsidP="00DF39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6296"/>
      </w:tblGrid>
      <w:tr w:rsidR="004C5346" w:rsidRPr="004C5346" w:rsidTr="004C5346">
        <w:trPr>
          <w:trHeight w:val="127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2E0C9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BỘ TÀI CHÍNH</w:t>
            </w:r>
            <w:r w:rsidRPr="004C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TỔNG CỤC THUẾ</w:t>
            </w:r>
            <w:r w:rsidRPr="004C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2E0C9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4C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4C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------------------</w:t>
            </w:r>
          </w:p>
        </w:tc>
      </w:tr>
      <w:tr w:rsidR="004C5346" w:rsidRPr="004C5346" w:rsidTr="004C53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4C534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/TCT-DNL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V/v: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hoàn thuế GTGT đầu vào đối với sản phẩm Alumina và Hydrat xuất khẩu đã nhận được tiền thanh toán bằng L/C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4C534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Nội, ngày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4C5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tháng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4C5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năm 2020</w:t>
            </w:r>
          </w:p>
        </w:tc>
      </w:tr>
    </w:tbl>
    <w:p w:rsidR="004C5346" w:rsidRDefault="00DF3963" w:rsidP="00DF39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DF3963" w:rsidRPr="00DF3963" w:rsidRDefault="004C5346" w:rsidP="00DF39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F3963"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Kính gửi:</w:t>
      </w:r>
    </w:p>
    <w:p w:rsidR="00DF3963" w:rsidRPr="00DF3963" w:rsidRDefault="00DF3963" w:rsidP="00DF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Cục Thuế thành phố Hà Nội;</w:t>
      </w:r>
    </w:p>
    <w:p w:rsidR="00DF3963" w:rsidRDefault="004C5346" w:rsidP="00DF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="00DF3963"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Tập đoàn Công nghiệp Than - Khoáng sản Việt Nam.</w:t>
      </w:r>
    </w:p>
    <w:p w:rsidR="00DF3963" w:rsidRPr="00DF3963" w:rsidRDefault="00DF3963" w:rsidP="00DF39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Tổng cục Thuế nhận được công văn số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2675/TKV-KTTC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ngày 4/6/2020,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công văn số 6235/TKV-KTTC-VTM ngày 16/12/2019, công văn số 5968/TKV-KTTC-VTM ngày 13/11/2019 của Tập đoàn Công nghiệp Than - Khoáng sản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Việt Nam (TKV) và công văn số 94606/CT-TKT3 ngày 18/12/209 của Cục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thuế thành phố Hà Nội về việc hoàn thuế giá trị gia tăng đầu vào đối với sản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phẩm Alumina và Hydrat xuất khẩu. Về nội dung này, Tổng cục Thuế có ý kiến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như sau: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Pr="00DF396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Về căn cứ pháp lý quy định việc hoàn thuế GTGT đầu vào: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Điều 1 Thông tư số 25/2018/TT-BTC ngày 16/3/2018 của Bộ Tài chính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hướng dẫn Nghị định số 146/2017/NĐ-CP ngày 15/12/2017 của Chính phủ và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sửa đổi, bổ sung một số điều của Thông tư số 78/2014/TT-BTC ngày 18/6/2014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của Bộ Tài chính, Thông tư số 111/2013/TT-BTC ngày 15/8/2013 của Bộ Tài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chính sửa đổi, bổ sung Khoản 23 Điều 4 Thông tư số 219/2013/TT-BTC ngày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31/12/2013 của Bộ Tài chính (đã được sửa đổi, bổ sung theo thông tư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số 130/2016/TT-BTC ngày 12/8/2016 của Bộ Tài chính) quy định đối tượng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không chịu thuế GTGT;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Khoản 2 Điều 9 Thông tư số 219/2013/TT-BTC ngày 31/12/2013 của Bộ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Tài chính hướng dẫn thi hành Luật Thuế giá trị gia tăng và Nghị định số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209/2013/NĐ-CP ngày 18/12/2013 của Chính phủ quy định chi tiết và hướng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dẫn thi hành một số điều Luật Thuế giá trị gia tăng quy định về điều kiện về thủ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tục để được áp dụng thuế suất 0% đối với hàng hóa, dịch vụ xuất khẩu;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Khoản 1 Điều 15 Thông tư số 219/2013/TT-BTC ngày 31/12/2013 của Bộ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Tài chính quy định về điều kiện khấu trừ thuế GTGT đầu vào;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Khoản 3 Điều 16 Thông tư số 219/2013/TT-BTC ngày 31/12/2013 của Bộ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Tài chính quy định về điều kiện khấu trừ, hoàn thuế đầu vào của hàng hóa, dịch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vụ xuất khẩu;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Điều 2 Thông tư số 25/2018/TT-BTC ngày 16/3/2018 của Bộ Tài chính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hướng dẫn sửa đổi, bổ sung Khoản 4 Điều 18 Thông tư số 219/2013/TT-BTC ngày 31/12/2013 của Bộ Tài chính (đã được sửa đổi, bổ sung theo Thông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tư số 130/2016/TT-BTC ngày 12/8/2016 của Bộ Tài chính) quy định về đối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tượng và trường hợp được hoàn thuế GTGT.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Pr="00DF396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Quy định về chứng từ L/C trong hoạt động thanh toán quốc tế: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Liên quan đến nghiệp vụ L/C trong hoạt động thanh toán quốc tế, ngày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03/4/2020, Ngân hàng Nhà nước đã có văn bản số 2383/NHNN-QLNH gửi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Tổng cục Thuế (văn bản gửi kèm).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Căn cứ quy định về đối tượng, điều kiện khấu trừ, hoàn thuế GTGT đối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với hàng hóa, dịch vụ xuất khẩu và ý kiến của Ngân hàng nhà nước tại văn bản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nêu trên:</w:t>
      </w:r>
    </w:p>
    <w:p w:rsidR="00DF3963" w:rsidRP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Trường hợp qua thanh tra, kiểm tra thực tế hồ sơ của TKV chứng minh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việc thực xuất khẩu và thực nhận tiền thanh toán các lô hàng xuất khẩu tương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ứng bằng phương thức L/C, được quy định tại các điều khoản thỏa thuận tại Hợp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đồng mua bán ký giữa TKV và khách hàng nước ngoài (bên nhập khẩu) thì TKV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đáp ứng điều kiện có chứng từ thanh toán qua ngân hàng (của hàng hóa thực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xuất khẩu) theo quy định pháp luật thuế để xem xét khấu trừ, hoàn thuế.</w:t>
      </w:r>
    </w:p>
    <w:p w:rsidR="00DF3963" w:rsidRDefault="00DF3963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Tổng cục Thuế trả lời để Cục Thuế TP Hà Nội, Tập đoàn Công nghiệp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F39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Than - Khoáng sản Việt Nam biết và thực hiện./.</w:t>
      </w:r>
    </w:p>
    <w:p w:rsidR="004C5346" w:rsidRDefault="004C5346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tbl>
      <w:tblPr>
        <w:tblW w:w="8876" w:type="dxa"/>
        <w:tblCellMar>
          <w:left w:w="0" w:type="dxa"/>
          <w:right w:w="0" w:type="dxa"/>
        </w:tblCellMar>
        <w:tblLook w:val="00A0"/>
      </w:tblPr>
      <w:tblGrid>
        <w:gridCol w:w="4644"/>
        <w:gridCol w:w="4232"/>
      </w:tblGrid>
      <w:tr w:rsidR="004C5346" w:rsidRPr="004C5346" w:rsidTr="002E0C97">
        <w:trPr>
          <w:trHeight w:val="23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2E0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4C53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4C53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Như trên;</w:t>
            </w:r>
          </w:p>
          <w:p w:rsidR="004C5346" w:rsidRPr="004C5346" w:rsidRDefault="004C5346" w:rsidP="002E0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Lãnh đạo Bộ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(để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báo cáo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5346" w:rsidRDefault="004C5346" w:rsidP="004C5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- Vụ 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, PC,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TCNH (BTC);</w:t>
            </w:r>
          </w:p>
          <w:p w:rsidR="004C5346" w:rsidRDefault="004C5346" w:rsidP="004C5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Vụ CS, PC, KK&amp;KKT (TCT);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46" w:rsidRPr="004C5346" w:rsidRDefault="004C5346" w:rsidP="004C5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3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Lưu: VT, </w:t>
            </w:r>
            <w:r w:rsidRPr="004C5346">
              <w:rPr>
                <w:rFonts w:ascii="Times New Roman" w:hAnsi="Times New Roman" w:cs="Times New Roman"/>
                <w:sz w:val="24"/>
                <w:szCs w:val="24"/>
              </w:rPr>
              <w:t>DNL (2b)</w:t>
            </w:r>
            <w:r w:rsidRPr="004C534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346" w:rsidRPr="004C5346" w:rsidRDefault="004C5346" w:rsidP="002E0C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. TỔNG CỤC TRƯỞNG</w:t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PHÓ TỔNG CỤC TRƯỞNG</w:t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</w:p>
          <w:p w:rsidR="004C5346" w:rsidRPr="004C5346" w:rsidRDefault="004C5346" w:rsidP="004C53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4C53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Vũ Chí Hùng</w:t>
            </w:r>
          </w:p>
        </w:tc>
      </w:tr>
    </w:tbl>
    <w:p w:rsidR="004C5346" w:rsidRPr="00DF3963" w:rsidRDefault="004C5346" w:rsidP="00DF39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sectPr w:rsidR="004C5346" w:rsidRPr="00DF3963" w:rsidSect="000C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3963"/>
    <w:rsid w:val="000C1FDD"/>
    <w:rsid w:val="004C5346"/>
    <w:rsid w:val="0098282B"/>
    <w:rsid w:val="00CA3323"/>
    <w:rsid w:val="00D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Cuc Thue</dc:creator>
  <cp:keywords/>
  <dc:description/>
  <cp:lastModifiedBy>Tong Cuc Thue</cp:lastModifiedBy>
  <cp:revision>3</cp:revision>
  <dcterms:created xsi:type="dcterms:W3CDTF">2020-07-01T08:32:00Z</dcterms:created>
  <dcterms:modified xsi:type="dcterms:W3CDTF">2020-07-02T09:36:00Z</dcterms:modified>
</cp:coreProperties>
</file>