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2916"/>
        <w:gridCol w:w="5724"/>
      </w:tblGrid>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BỘ TÀI CHÍNH</w:t>
            </w:r>
            <w:r>
              <w:rPr>
                <w:rtl w:val="0"/>
              </w:rPr>
              <w:br/>
            </w:r>
            <w:r>
              <w:rPr>
                <w:b/>
                <w:bCs/>
                <w:rtl w:val="0"/>
              </w:rPr>
              <w:t>CỤC THUẾ</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rPr>
                <w:rtl w:val="0"/>
              </w:rPr>
            </w:pPr>
            <w:r>
              <w:rPr>
                <w:rtl w:val="0"/>
              </w:rPr>
              <w:t>Số: 6138/CT-QLNT</w:t>
            </w:r>
            <w:r>
              <w:rPr>
                <w:rtl w:val="0"/>
              </w:rPr>
              <w:br/>
            </w:r>
            <w:r>
              <w:rPr>
                <w:i/>
                <w:iCs/>
                <w:sz w:val="16"/>
                <w:rtl w:val="0"/>
              </w:rPr>
              <w:t>V/v thuế giá trị gia tăng</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21 tháng 8 năm 2026</w:t>
            </w:r>
          </w:p>
        </w:tc>
      </w:tr>
    </w:tbl>
    <w:p>
      <w:pPr>
        <w:bidi w:val="0"/>
        <w:spacing w:before="120" w:beforeAutospacing="0" w:after="280" w:afterAutospacing="1"/>
      </w:pPr>
      <w:r>
        <w:rPr>
          <w:rtl w:val="0"/>
        </w:rPr>
        <w:t> </w:t>
      </w:r>
    </w:p>
    <w:p>
      <w:pPr>
        <w:bidi w:val="0"/>
        <w:spacing w:before="120" w:beforeAutospacing="0" w:after="280" w:afterAutospacing="1"/>
        <w:jc w:val="center"/>
      </w:pPr>
      <w:r>
        <w:rPr>
          <w:b/>
          <w:bCs/>
          <w:rtl w:val="0"/>
        </w:rPr>
        <w:t>Kính gửi:</w:t>
      </w:r>
      <w:r>
        <w:rPr>
          <w:rtl w:val="0"/>
        </w:rPr>
        <w:t xml:space="preserve"> Cơ quan Cảnh sát điều tra Công an thành phố Hải Phòng.</w:t>
      </w:r>
    </w:p>
    <w:p>
      <w:pPr>
        <w:bidi w:val="0"/>
        <w:spacing w:before="120" w:beforeAutospacing="0" w:after="280" w:afterAutospacing="1"/>
      </w:pPr>
      <w:r>
        <w:rPr>
          <w:rtl w:val="0"/>
        </w:rPr>
        <w:t>Cục Thuế nhận được công văn số 16743/VPCQCSĐT(Đ3) ngày 03/8/2026 của Cơ quan Cảnh sát điều tra Công an thành phố Hải Phòng về thuế giá trị gia tăng (GTGT). Về nội dung này, Cục Thuế có ý kiến như sau:</w:t>
      </w:r>
    </w:p>
    <w:p>
      <w:pPr>
        <w:bidi w:val="0"/>
        <w:spacing w:before="120" w:beforeAutospacing="0" w:after="280" w:afterAutospacing="1"/>
      </w:pPr>
      <w:r>
        <w:rPr>
          <w:rtl w:val="0"/>
        </w:rPr>
        <w:t xml:space="preserve">Tại </w:t>
      </w:r>
      <w:bookmarkStart w:id="0" w:name="dc_1"/>
      <w:r>
        <w:rPr>
          <w:rtl w:val="0"/>
        </w:rPr>
        <w:t>khoản 5 Điều 1 của Luật số 31/2013/QH13</w:t>
      </w:r>
      <w:bookmarkEnd w:id="0"/>
      <w:r>
        <w:rPr>
          <w:rtl w:val="0"/>
        </w:rPr>
        <w:t xml:space="preserve"> sửa đổi, bổ sung </w:t>
      </w:r>
      <w:bookmarkStart w:id="1" w:name="dc_2"/>
      <w:r>
        <w:rPr>
          <w:rtl w:val="0"/>
        </w:rPr>
        <w:t>khoản 1 Điều 11 Luật Thuế GTGT</w:t>
      </w:r>
      <w:bookmarkEnd w:id="1"/>
      <w:r>
        <w:rPr>
          <w:rtl w:val="0"/>
        </w:rPr>
        <w:t xml:space="preserve"> quy định:</w:t>
      </w:r>
    </w:p>
    <w:p>
      <w:pPr>
        <w:bidi w:val="0"/>
        <w:spacing w:before="120" w:beforeAutospacing="0" w:after="280" w:afterAutospacing="1"/>
      </w:pPr>
      <w:r>
        <w:rPr>
          <w:b/>
          <w:bCs/>
          <w:i/>
          <w:iCs/>
          <w:rtl w:val="0"/>
        </w:rPr>
        <w:t>"Điều 1</w:t>
      </w:r>
    </w:p>
    <w:p>
      <w:pPr>
        <w:bidi w:val="0"/>
        <w:spacing w:before="120" w:beforeAutospacing="0" w:after="280" w:afterAutospacing="1"/>
      </w:pPr>
      <w:r>
        <w:rPr>
          <w:i/>
          <w:iCs/>
          <w:rtl w:val="0"/>
        </w:rPr>
        <w:t>Sửa đổi, bổ sung một số điều của Luật thuế giá trị gia tăng:</w:t>
      </w:r>
    </w:p>
    <w:p>
      <w:pPr>
        <w:bidi w:val="0"/>
        <w:spacing w:before="120" w:beforeAutospacing="0" w:after="280" w:afterAutospacing="1"/>
      </w:pPr>
      <w:r>
        <w:rPr>
          <w:i/>
          <w:iCs/>
          <w:rtl w:val="0"/>
        </w:rPr>
        <w:t>...</w:t>
      </w:r>
    </w:p>
    <w:p>
      <w:pPr>
        <w:bidi w:val="0"/>
        <w:spacing w:before="120" w:beforeAutospacing="0" w:after="280" w:afterAutospacing="1"/>
      </w:pPr>
      <w:r>
        <w:rPr>
          <w:i/>
          <w:iCs/>
          <w:rtl w:val="0"/>
        </w:rPr>
        <w:t xml:space="preserve">5. </w:t>
      </w:r>
      <w:bookmarkStart w:id="2" w:name="dc_3"/>
      <w:r>
        <w:rPr>
          <w:i/>
          <w:iCs/>
          <w:rtl w:val="0"/>
        </w:rPr>
        <w:t>Điều 11</w:t>
      </w:r>
      <w:bookmarkEnd w:id="2"/>
      <w:r>
        <w:rPr>
          <w:i/>
          <w:iCs/>
          <w:rtl w:val="0"/>
        </w:rPr>
        <w:t xml:space="preserve"> được sửa đổi, bổ sung như sau:</w:t>
      </w:r>
    </w:p>
    <w:p>
      <w:pPr>
        <w:bidi w:val="0"/>
        <w:spacing w:before="120" w:beforeAutospacing="0" w:after="280" w:afterAutospacing="1"/>
      </w:pPr>
      <w:r>
        <w:rPr>
          <w:b/>
          <w:bCs/>
          <w:i/>
          <w:iCs/>
          <w:rtl w:val="0"/>
        </w:rPr>
        <w:t>“Điều 11. Phương pháp tính trực tiếp trên giá trị gia tăng</w:t>
      </w:r>
    </w:p>
    <w:p>
      <w:pPr>
        <w:bidi w:val="0"/>
        <w:spacing w:before="120" w:beforeAutospacing="0" w:after="280" w:afterAutospacing="1"/>
      </w:pPr>
      <w:r>
        <w:rPr>
          <w:i/>
          <w:iCs/>
          <w:rtl w:val="0"/>
        </w:rPr>
        <w:t xml:space="preserve">1. Số thuế giá trị gia tăng phải nộp theo phương pháp tính trực tiếp trên giá trị gia tăng bằng giá trị gia tăng nhân với thuế suất thuế giá trị gia tăng áp dụng đối với hoạt động mua bán, chế tác vàng, bạc, đá quý. </w:t>
      </w:r>
    </w:p>
    <w:p>
      <w:pPr>
        <w:bidi w:val="0"/>
        <w:spacing w:before="120" w:beforeAutospacing="0" w:after="280" w:afterAutospacing="1"/>
      </w:pPr>
      <w:r>
        <w:rPr>
          <w:i/>
          <w:iCs/>
          <w:rtl w:val="0"/>
        </w:rPr>
        <w:t>Giá trị gia tăng của vàng, bạc, đá quý được xác định bằng giá thanh toán của vàng, bạc, đá quý bán ra trừ giá thanh toán của vàng, bạc, đá quý mua vào tương ứng." "</w:t>
      </w:r>
    </w:p>
    <w:p>
      <w:pPr>
        <w:bidi w:val="0"/>
        <w:spacing w:before="120" w:beforeAutospacing="0" w:after="280" w:afterAutospacing="1"/>
      </w:pPr>
      <w:r>
        <w:rPr>
          <w:rtl w:val="0"/>
        </w:rPr>
        <w:t xml:space="preserve">Tại </w:t>
      </w:r>
      <w:bookmarkStart w:id="3" w:name="dc_4"/>
      <w:r>
        <w:rPr>
          <w:rtl w:val="0"/>
        </w:rPr>
        <w:t>Điều 12 Luật Thuế giá trị gia tăng số 48/2024/QH15</w:t>
      </w:r>
      <w:bookmarkEnd w:id="3"/>
      <w:r>
        <w:rPr>
          <w:rtl w:val="0"/>
        </w:rPr>
        <w:t xml:space="preserve"> quy định:</w:t>
      </w:r>
    </w:p>
    <w:p>
      <w:pPr>
        <w:bidi w:val="0"/>
        <w:spacing w:before="120" w:beforeAutospacing="0" w:after="280" w:afterAutospacing="1"/>
      </w:pPr>
      <w:r>
        <w:rPr>
          <w:b/>
          <w:bCs/>
          <w:i/>
          <w:iCs/>
          <w:rtl w:val="0"/>
        </w:rPr>
        <w:t>“Điều 12. Phương pháp tính trực tiếp</w:t>
      </w:r>
    </w:p>
    <w:p>
      <w:pPr>
        <w:bidi w:val="0"/>
        <w:spacing w:before="120" w:beforeAutospacing="0" w:after="280" w:afterAutospacing="1"/>
      </w:pPr>
      <w:r>
        <w:rPr>
          <w:i/>
          <w:iCs/>
          <w:rtl w:val="0"/>
        </w:rPr>
        <w:t xml:space="preserve">1. Số thuế giá trị gia tăng phải nộp theo phương pháp tính trực tiếp trên giá trị gia tăng bằng giá trị gia tăng nhân với thuế suất thuế giá trị gia tăng áp dụng đối với hoạt động mua, bán, chế tác vàng, bạc, đá quý. </w:t>
      </w:r>
    </w:p>
    <w:p>
      <w:pPr>
        <w:bidi w:val="0"/>
        <w:spacing w:before="120" w:beforeAutospacing="0" w:after="280" w:afterAutospacing="1"/>
      </w:pPr>
      <w:r>
        <w:rPr>
          <w:i/>
          <w:iCs/>
          <w:rtl w:val="0"/>
        </w:rPr>
        <w:t xml:space="preserve">Giá trị gia tăng của hoạt động mua, bán, chế tác vàng, bạc, đá quý được xác định bằng giá thanh toán của vàng, bạc, đá quý bán ra trừ giá thanh toán của vàng, bạc, đá quý mua vào tương ứng. </w:t>
      </w:r>
    </w:p>
    <w:p>
      <w:pPr>
        <w:bidi w:val="0"/>
        <w:spacing w:before="120" w:beforeAutospacing="0" w:after="280" w:afterAutospacing="1"/>
      </w:pPr>
      <w:r>
        <w:rPr>
          <w:i/>
          <w:iCs/>
          <w:rtl w:val="0"/>
        </w:rPr>
        <w:t>Trường hợp cơ sở kinh doanh có hoạt động mua, bán, chế tác vàng, bạc, đá quý thì cơ sở kinh doanh phải hạch toán riêng hoạt động này để nộp thuế theo phương pháp tính trực tiếp trên giá trị gia tăng."</w:t>
      </w:r>
    </w:p>
    <w:p>
      <w:pPr>
        <w:bidi w:val="0"/>
        <w:spacing w:before="120" w:beforeAutospacing="0" w:after="280" w:afterAutospacing="1"/>
      </w:pPr>
      <w:r>
        <w:rPr>
          <w:rtl w:val="0"/>
        </w:rPr>
        <w:t xml:space="preserve">Tại </w:t>
      </w:r>
      <w:bookmarkStart w:id="4" w:name="dc_5"/>
      <w:r>
        <w:rPr>
          <w:rtl w:val="0"/>
        </w:rPr>
        <w:t>Điều 8 Nghị định số 209/2013/NĐ-CP</w:t>
      </w:r>
      <w:bookmarkEnd w:id="4"/>
      <w:r>
        <w:rPr>
          <w:rtl w:val="0"/>
        </w:rPr>
        <w:t xml:space="preserve"> ngày 18/12/2013 của Chính phủ quy định:</w:t>
      </w:r>
    </w:p>
    <w:p>
      <w:pPr>
        <w:bidi w:val="0"/>
        <w:spacing w:before="120" w:beforeAutospacing="0" w:after="280" w:afterAutospacing="1"/>
      </w:pPr>
      <w:r>
        <w:rPr>
          <w:b/>
          <w:bCs/>
          <w:i/>
          <w:iCs/>
          <w:rtl w:val="0"/>
        </w:rPr>
        <w:t>“Điều 8. Phương pháp tính trực tiếp trên giá trị gia tăng</w:t>
      </w:r>
    </w:p>
    <w:p>
      <w:pPr>
        <w:bidi w:val="0"/>
        <w:spacing w:before="120" w:beforeAutospacing="0" w:after="280" w:afterAutospacing="1"/>
      </w:pPr>
      <w:r>
        <w:rPr>
          <w:i/>
          <w:iCs/>
          <w:rtl w:val="0"/>
        </w:rPr>
        <w:t xml:space="preserve">Phương pháp tính trực tiếp trên giá trị gia tăng thực hiện theo quy định tại </w:t>
      </w:r>
      <w:bookmarkStart w:id="5" w:name="dc_6"/>
      <w:r>
        <w:rPr>
          <w:i/>
          <w:iCs/>
          <w:rtl w:val="0"/>
        </w:rPr>
        <w:t>Điều 11 Luật Thuế giá trị gia tăng</w:t>
      </w:r>
      <w:bookmarkEnd w:id="5"/>
      <w:r>
        <w:rPr>
          <w:i/>
          <w:iCs/>
          <w:rtl w:val="0"/>
        </w:rPr>
        <w:t xml:space="preserve"> và </w:t>
      </w:r>
      <w:bookmarkStart w:id="6" w:name="dc_7"/>
      <w:r>
        <w:rPr>
          <w:i/>
          <w:iCs/>
          <w:rtl w:val="0"/>
        </w:rPr>
        <w:t>khoản 5 Điều 1 Luật sửa đổi, bổ sung một số điều của Luật Thuế giá trị gia tăng</w:t>
      </w:r>
      <w:bookmarkEnd w:id="6"/>
      <w:r>
        <w:rPr>
          <w:i/>
          <w:iCs/>
          <w:rtl w:val="0"/>
        </w:rPr>
        <w:t xml:space="preserve">. </w:t>
      </w:r>
    </w:p>
    <w:p>
      <w:pPr>
        <w:bidi w:val="0"/>
        <w:spacing w:before="120" w:beforeAutospacing="0" w:after="280" w:afterAutospacing="1"/>
      </w:pPr>
      <w:r>
        <w:rPr>
          <w:i/>
          <w:iCs/>
          <w:rtl w:val="0"/>
        </w:rPr>
        <w:t xml:space="preserve">1. Số thuế giá trị gia tăng phải nộp theo phương pháp tính trực tiếp trên giá trị gia tăng bằng giá trị gia tăng nhân với thuế suất thuế giá trị gia tăng 10% áp dụng đối với hoạt động mua, bán, chế tác vàng bạc, đá quý. </w:t>
      </w:r>
    </w:p>
    <w:p>
      <w:pPr>
        <w:bidi w:val="0"/>
        <w:spacing w:before="120" w:beforeAutospacing="0" w:after="280" w:afterAutospacing="1"/>
      </w:pPr>
      <w:r>
        <w:rPr>
          <w:i/>
          <w:iCs/>
          <w:rtl w:val="0"/>
        </w:rPr>
        <w:t xml:space="preserve">Giá trị gia tăng của vàng, bạc, đá quý được xác định bằng giá thanh toán của vàng, bạc, đá quý bán ra trừ (-) giá thanh toán của vàng, bạc, đá quý mua vào tương ứng. </w:t>
      </w:r>
    </w:p>
    <w:p>
      <w:pPr>
        <w:bidi w:val="0"/>
        <w:spacing w:before="120" w:beforeAutospacing="0" w:after="280" w:afterAutospacing="1"/>
      </w:pPr>
      <w:r>
        <w:rPr>
          <w:i/>
          <w:iCs/>
          <w:rtl w:val="0"/>
        </w:rPr>
        <w:t xml:space="preserve">Giá thanh toán của vàng, bạc, đá quý bán ra là giá thực tế bán ghi trên hóa đơn bán vàng, bạc, đá quý, bao gồm cả tiền công chế tác (nếu có), thuế giá trị gia tăng và các khoản phụ thu, phí thu thêm mà bên bán được hưởng. </w:t>
      </w:r>
    </w:p>
    <w:p>
      <w:pPr>
        <w:bidi w:val="0"/>
        <w:spacing w:before="120" w:beforeAutospacing="0" w:after="280" w:afterAutospacing="1"/>
      </w:pPr>
      <w:r>
        <w:rPr>
          <w:i/>
          <w:iCs/>
          <w:rtl w:val="0"/>
        </w:rPr>
        <w:t xml:space="preserve">Giá thanh toán của vàng, bạc, đá quý mua vào được xác định bằng giá trị vàng, bạc, đá quý mua vào hoặc nhập khẩu, đã có thuế giá trị gia tăng dùng cho mua bán, chế tác vàng, bạc, đá quý bán ra tương ứng. </w:t>
      </w:r>
    </w:p>
    <w:p>
      <w:pPr>
        <w:bidi w:val="0"/>
        <w:spacing w:before="120" w:beforeAutospacing="0" w:after="280" w:afterAutospacing="1"/>
      </w:pPr>
      <w:r>
        <w:rPr>
          <w:i/>
          <w:iCs/>
          <w:rtl w:val="0"/>
        </w:rPr>
        <w:t>Trường hợp trong kỳ tính thuế phát sinh giá trị gia tăng âm (-) của vàng, bạc, đá quý thì được tính bù trừ vào giá trị gia tăng dương (+) của vàng, bạc, đá quý. Trường hợp không có phát sinh giá trị gia tăng dương (+) hoặc giá trị gia tăng dương (+) không đủ bù trừ giá trị gia tăng âm (-) thì được kết chuyển để trừ vào giá trị gia tăng của kỳ sau trong năm. Kết thúc năm dương lịch, giá trị gia tăng âm (-) không được kết chuyển tiếp sang năm sau."</w:t>
      </w:r>
    </w:p>
    <w:p>
      <w:pPr>
        <w:bidi w:val="0"/>
        <w:spacing w:before="120" w:beforeAutospacing="0" w:after="280" w:afterAutospacing="1"/>
      </w:pPr>
      <w:r>
        <w:rPr>
          <w:rtl w:val="0"/>
        </w:rPr>
        <w:t xml:space="preserve">Tại </w:t>
      </w:r>
      <w:bookmarkStart w:id="7" w:name="dc_8"/>
      <w:r>
        <w:rPr>
          <w:rtl w:val="0"/>
        </w:rPr>
        <w:t>Điều 22 Nghị định số 181/2025/NĐ-CP</w:t>
      </w:r>
      <w:bookmarkEnd w:id="7"/>
      <w:r>
        <w:rPr>
          <w:rtl w:val="0"/>
        </w:rPr>
        <w:t xml:space="preserve"> ngày 01/7/2025 của Chính phủ quy định:</w:t>
      </w:r>
    </w:p>
    <w:p>
      <w:pPr>
        <w:bidi w:val="0"/>
        <w:spacing w:before="120" w:beforeAutospacing="0" w:after="280" w:afterAutospacing="1"/>
      </w:pPr>
      <w:r>
        <w:rPr>
          <w:b/>
          <w:bCs/>
          <w:i/>
          <w:iCs/>
          <w:rtl w:val="0"/>
        </w:rPr>
        <w:t>“Điều 22. Phương pháp tính trực tiếp trên giá trị gia tăng đối với hoạt động mua, bán, chế tác vàng, bạc, đá quý</w:t>
      </w:r>
    </w:p>
    <w:p>
      <w:pPr>
        <w:bidi w:val="0"/>
        <w:spacing w:before="120" w:beforeAutospacing="0" w:after="280" w:afterAutospacing="1"/>
      </w:pPr>
      <w:r>
        <w:rPr>
          <w:i/>
          <w:iCs/>
          <w:rtl w:val="0"/>
        </w:rPr>
        <w:t xml:space="preserve">1. Số thuế giá trị gia tăng phải nộp theo phương pháp tính trực tiếp trên giá trị gia tăng bằng giá trị gia tăng nhân với thuế suất thuế giá trị gia tăng áp dụng đối với hoạt động mua, bán, chế tác vàng, bạc, đá quý. </w:t>
      </w:r>
    </w:p>
    <w:p>
      <w:pPr>
        <w:bidi w:val="0"/>
        <w:spacing w:before="120" w:beforeAutospacing="0" w:after="280" w:afterAutospacing="1"/>
      </w:pPr>
      <w:r>
        <w:rPr>
          <w:i/>
          <w:iCs/>
          <w:rtl w:val="0"/>
        </w:rPr>
        <w:t xml:space="preserve">2. Giá trị gia tăng của hoạt động mua, bán, chế tác vàng, bạc, đá quý được xác định bằng giá thanh toán của vàng, bạc, đá quý bán ra trừ giá thanh toán của vàng, bạc, đá quý mua vào tương ứng. Trong đó: </w:t>
      </w:r>
    </w:p>
    <w:p>
      <w:pPr>
        <w:bidi w:val="0"/>
        <w:spacing w:before="120" w:beforeAutospacing="0" w:after="280" w:afterAutospacing="1"/>
      </w:pPr>
      <w:r>
        <w:rPr>
          <w:i/>
          <w:iCs/>
          <w:rtl w:val="0"/>
        </w:rPr>
        <w:t xml:space="preserve">a) Giá thanh toán của vàng, bạc, đá quý bán ra là giá thực tế bán ghi trên hóa đơn bán vàng, bạc, đá quý, bao gồm cả tiền công chế tác (nếu có), thuế giá trị gia tăng và các khoản phụ thu, phí thu thêm mà bên bán được hưởng. </w:t>
      </w:r>
    </w:p>
    <w:p>
      <w:pPr>
        <w:bidi w:val="0"/>
        <w:spacing w:before="120" w:beforeAutospacing="0" w:after="280" w:afterAutospacing="1"/>
      </w:pPr>
      <w:r>
        <w:rPr>
          <w:i/>
          <w:iCs/>
          <w:rtl w:val="0"/>
        </w:rPr>
        <w:t>b) Giá thanh toán của vàng, bạc, đá quý mua vào được xác định bằng giá trị vàng, bạc, đá quý mua vào hoặc nhập khẩu, đã có thuế giá trị gia tăng dùng cho mua, bán, chế tác vàng, bạc, đá quý bán ra tương ứng.</w:t>
      </w:r>
    </w:p>
    <w:p>
      <w:pPr>
        <w:bidi w:val="0"/>
        <w:spacing w:before="120" w:beforeAutospacing="0" w:after="280" w:afterAutospacing="1"/>
      </w:pPr>
      <w:r>
        <w:rPr>
          <w:i/>
          <w:iCs/>
          <w:rtl w:val="0"/>
        </w:rPr>
        <w:t xml:space="preserve">3. Trường hợp cơ sở kinh doanh có hoạt động mua, bán, chế tác vàng, bạc, đá quý thì cơ sở kinh doanh phải hạch toán riêng hoạt động này để nộp thuế theo phương pháp tính trực tiếp trên giá trị gia tăng. </w:t>
      </w:r>
    </w:p>
    <w:p>
      <w:pPr>
        <w:bidi w:val="0"/>
        <w:spacing w:before="120" w:beforeAutospacing="0" w:after="280" w:afterAutospacing="1"/>
      </w:pPr>
      <w:r>
        <w:rPr>
          <w:i/>
          <w:iCs/>
          <w:rtl w:val="0"/>
        </w:rPr>
        <w:t>4. Trường hợp trong kỳ tính thuế phát sinh giá trị gia tăng âm (-) của vàng, bạc, đá quý thì được tính bù trừ vào giá trị gia tăng dương (+) của vàng, bạc, đá quý. Trường hợp không phát sinh giá trị gia tăng dương (+) hoặc giá trị gia tăng dương (+) không đủ bù trừ giá trị gia tăng âm (-) thì được kết chuyển để trừ vào giá trị gia tăng của kỳ sau trong năm. Kết thúc năm dương lịch, giá trị gia tăng âm (-) không được kết chuyển tiếp sang năm sau."</w:t>
      </w:r>
    </w:p>
    <w:p>
      <w:pPr>
        <w:bidi w:val="0"/>
        <w:spacing w:before="120" w:beforeAutospacing="0" w:after="280" w:afterAutospacing="1"/>
      </w:pPr>
      <w:r>
        <w:rPr>
          <w:rtl w:val="0"/>
        </w:rPr>
        <w:t xml:space="preserve">Tại </w:t>
      </w:r>
      <w:bookmarkStart w:id="8" w:name="dc_9"/>
      <w:r>
        <w:rPr>
          <w:rtl w:val="0"/>
        </w:rPr>
        <w:t>khoản 4 Điều 3 Thông tư số 119/2014/TT-BTC</w:t>
      </w:r>
      <w:bookmarkEnd w:id="8"/>
      <w:r>
        <w:rPr>
          <w:rtl w:val="0"/>
        </w:rPr>
        <w:t xml:space="preserve"> ngày 25/8/2014 của Bộ Tài chính sửa đổi </w:t>
      </w:r>
      <w:bookmarkStart w:id="9" w:name="dc_10"/>
      <w:r>
        <w:rPr>
          <w:rtl w:val="0"/>
        </w:rPr>
        <w:t>khoản 1 Điều 13 Thông tư số 219/2013/TT-BTC</w:t>
      </w:r>
      <w:bookmarkEnd w:id="9"/>
      <w:r>
        <w:rPr>
          <w:rtl w:val="0"/>
        </w:rPr>
        <w:t xml:space="preserve"> quy định:</w:t>
      </w:r>
    </w:p>
    <w:p>
      <w:pPr>
        <w:bidi w:val="0"/>
        <w:spacing w:before="120" w:beforeAutospacing="0" w:after="280" w:afterAutospacing="1"/>
      </w:pPr>
      <w:r>
        <w:rPr>
          <w:i/>
          <w:iCs/>
          <w:rtl w:val="0"/>
        </w:rPr>
        <w:t xml:space="preserve">“4. Sửa đổi </w:t>
      </w:r>
      <w:bookmarkStart w:id="10" w:name="dc_11"/>
      <w:r>
        <w:rPr>
          <w:i/>
          <w:iCs/>
          <w:rtl w:val="0"/>
        </w:rPr>
        <w:t>khoản 1 Điều 13 Thông tư số 219/2013/TT-BTC</w:t>
      </w:r>
      <w:bookmarkEnd w:id="10"/>
      <w:r>
        <w:rPr>
          <w:i/>
          <w:iCs/>
          <w:rtl w:val="0"/>
        </w:rPr>
        <w:t xml:space="preserve"> như sau:</w:t>
      </w:r>
    </w:p>
    <w:p>
      <w:pPr>
        <w:bidi w:val="0"/>
        <w:spacing w:before="120" w:beforeAutospacing="0" w:after="280" w:afterAutospacing="1"/>
      </w:pPr>
      <w:r>
        <w:rPr>
          <w:i/>
          <w:iCs/>
          <w:rtl w:val="0"/>
        </w:rPr>
        <w:t>“1. Số thuế GTGT phải nộp theo phương pháp tính trực tiếp trên GTGT bằng giá trị gia tăng nhân với thuế suất thuế giá trị gia tăng áp dụng đối với hoạt động mua, bán, chế tác vàng, bạc, đá quý.</w:t>
      </w:r>
    </w:p>
    <w:p>
      <w:pPr>
        <w:bidi w:val="0"/>
        <w:spacing w:before="120" w:beforeAutospacing="0" w:after="280" w:afterAutospacing="1"/>
      </w:pPr>
      <w:r>
        <w:rPr>
          <w:i/>
          <w:iCs/>
          <w:rtl w:val="0"/>
        </w:rPr>
        <w:t>Giá trị gia tăng của vàng, bạc, đá quý được xác định bằng giá thanh toán của vàng, bạc, đá quý bán ra trừ (-) giá thanh toán của vàng, bạc, đá quý mua vào tương ứng.</w:t>
      </w:r>
    </w:p>
    <w:p>
      <w:pPr>
        <w:bidi w:val="0"/>
        <w:spacing w:before="120" w:beforeAutospacing="0" w:after="280" w:afterAutospacing="1"/>
      </w:pPr>
      <w:r>
        <w:rPr>
          <w:i/>
          <w:iCs/>
          <w:rtl w:val="0"/>
        </w:rPr>
        <w:t>Giá thanh toán của vàng, bạc, đá quý bán ra là giá thực tế bán ghi trên hóa đơn bán vàng, bạc, đá quý, bao gồm cả tiền công chế tác (nếu có), thuế giá trị gia tăng và các khoản phụ thu, phí thu thêm mà bên bán được hưởng.</w:t>
      </w:r>
    </w:p>
    <w:p>
      <w:pPr>
        <w:bidi w:val="0"/>
        <w:spacing w:before="120" w:beforeAutospacing="0" w:after="280" w:afterAutospacing="1"/>
      </w:pPr>
      <w:r>
        <w:rPr>
          <w:i/>
          <w:iCs/>
          <w:rtl w:val="0"/>
        </w:rPr>
        <w:t>Giá thanh toán của vàng, bạc, đá quý mua vào được xác định bằng giá trị vàng, bạc, đá quý mua vào hoặc nhập khẩu, đã có thuế GTGT dùng cho mua bán, chế tác vàng, bạc, đá quý bán ra tương ứng.</w:t>
      </w:r>
    </w:p>
    <w:p>
      <w:pPr>
        <w:bidi w:val="0"/>
        <w:spacing w:before="120" w:beforeAutospacing="0" w:after="280" w:afterAutospacing="1"/>
      </w:pPr>
      <w:r>
        <w:rPr>
          <w:i/>
          <w:iCs/>
          <w:rtl w:val="0"/>
        </w:rPr>
        <w:t>Trường hợp trong kỳ tính thuế phát sinh giá trị gia tăng âm (-) của vàng, bạc, đá quý thì được tính bù trừ vào giá trị gia tăng dương (+) của vàng, bạc, đá quý. Trường hợp không có phát sinh giá trị gia tăng dương (+) hoặc giá trị gia tăng dương (+) không đủ bù trừ giá trị gia tăng âm (-) thì được kết chuyển để trừ vào giá trị gia tăng của kỳ sau trong năm. Kết thúc năm dương lịch, giá trị gia tăng âm (-) không được kết chuyển tiếp sang năm sau"."</w:t>
      </w:r>
    </w:p>
    <w:p>
      <w:pPr>
        <w:bidi w:val="0"/>
        <w:spacing w:before="120" w:beforeAutospacing="0" w:after="280" w:afterAutospacing="1"/>
      </w:pPr>
      <w:r>
        <w:rPr>
          <w:rtl w:val="0"/>
        </w:rPr>
        <w:t>Căn cứ các quy định nêu trên, hoạt động mua, bán, chế tác vàng, bạc, đá quý thuộc đối tượng áp dụng phương pháp tính trực tiếp trên giá trị gia tăng, số thuế giá trị gia tăng phải nộp theo phương pháp tính trực tiếp trên giá trị gia tăng bằng giá trị gia tăng nhân với thuế suất thuế giá trị gia tăng 10%. Giá trị gia tăng của hoạt động mua, bán, chế tác vàng, bạc, đá quý được xác định bằng giá thanh toán của vàng, bạc, đá quý bán ra trừ giá thanh toán của vàng, bạc, đá quý mua vào tương ứng.</w:t>
      </w:r>
    </w:p>
    <w:p>
      <w:pPr>
        <w:bidi w:val="0"/>
        <w:spacing w:before="120" w:beforeAutospacing="0" w:after="280" w:afterAutospacing="1"/>
      </w:pPr>
      <w:r>
        <w:rPr>
          <w:rtl w:val="0"/>
        </w:rPr>
        <w:t>Đề nghị Cơ quan Cảnh sát điều tra Công an thành phố Hải Phòng lấy ý kiến của Ngân hàng Nhà nước (là cơ quan quản lý nhà nước đối với hoạt động kinh doanh vàng) về hoạt động kinh doanh của Công ty cổ phần vàng bạc đá quý Golden Fund có theo quy định của pháp luật hay không. Trường hợp còn vướng mắc về chính sách thuế GTGT, đề nghị Cơ quan Cảnh sát điều tra Công an thành phố Hải Phòng lấy ý kiến Cục Quản lý, giám sát chính sách thuế, phí và lệ phí - Bộ Tài chính là đơn vị chủ trì xây dựng, trình các cấp có thẩm quyền ban hành các văn bản quy phạm pháp luật về chính sách thuế GTGT.</w:t>
      </w:r>
    </w:p>
    <w:p>
      <w:pPr>
        <w:bidi w:val="0"/>
        <w:spacing w:before="120" w:beforeAutospacing="0" w:after="280" w:afterAutospacing="1"/>
      </w:pPr>
      <w:r>
        <w:rPr>
          <w:rtl w:val="0"/>
        </w:rPr>
        <w:t>Cục Thuế có ý kiến để Cơ quan Cảnh sát điều tra Công an thành phố Hải Phòng biết./.</w:t>
      </w:r>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303"/>
        <w:gridCol w:w="4337"/>
      </w:tblGrid>
      <w:tr>
        <w:tblPrEx>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rtl w:val="0"/>
              </w:rPr>
              <w:t>- Như trên;</w:t>
            </w:r>
            <w:r>
              <w:rPr>
                <w:rtl w:val="0"/>
              </w:rPr>
              <w:br/>
            </w:r>
            <w:r>
              <w:rPr>
                <w:rtl w:val="0"/>
              </w:rPr>
              <w:t>- Phó CTr Đặng Ngọc Minh (để b/c);</w:t>
            </w:r>
            <w:r>
              <w:rPr>
                <w:rtl w:val="0"/>
              </w:rPr>
              <w:br/>
            </w:r>
            <w:r>
              <w:rPr>
                <w:rtl w:val="0"/>
              </w:rPr>
              <w:t>- Ban PC, Ban KT;</w:t>
            </w:r>
            <w:r>
              <w:rPr>
                <w:rtl w:val="0"/>
              </w:rPr>
              <w:br/>
            </w:r>
            <w:r>
              <w:rPr>
                <w:rtl w:val="0"/>
              </w:rPr>
              <w:t>- Lưu: VT, QLNT.</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TL. CỤC TRƯỞNG</w:t>
            </w:r>
            <w:r>
              <w:rPr>
                <w:rtl w:val="0"/>
              </w:rPr>
              <w:br/>
            </w:r>
            <w:r>
              <w:rPr>
                <w:b/>
                <w:bCs/>
                <w:rtl w:val="0"/>
              </w:rPr>
              <w:t>TRƯỞNG BAN BAN QUẢN LÝ, PHÁT TRIỂN NGUỒN THU</w:t>
            </w:r>
            <w:r>
              <w:rPr>
                <w:rtl w:val="0"/>
              </w:rPr>
              <w:br/>
            </w:r>
            <w:r>
              <w:rPr>
                <w:rtl w:val="0"/>
              </w:rPr>
              <w:br/>
            </w:r>
            <w:r>
              <w:rPr>
                <w:rtl w:val="0"/>
              </w:rPr>
              <w:br/>
            </w:r>
            <w:r>
              <w:rPr>
                <w:rtl w:val="0"/>
              </w:rPr>
              <w:br/>
            </w:r>
            <w:r>
              <w:rPr>
                <w:rtl w:val="0"/>
              </w:rPr>
              <w:br/>
            </w:r>
            <w:r>
              <w:rPr>
                <w:b/>
                <w:bCs/>
                <w:rtl w:val="0"/>
              </w:rPr>
              <w:t>Nguyễn Thị Thanh Hằng</w:t>
            </w:r>
          </w:p>
        </w:tc>
      </w:tr>
    </w:tbl>
    <w:p>
      <w:pPr>
        <w:bidi w:val="0"/>
        <w:spacing w:before="120" w:beforeAutospacing="0" w:after="280" w:afterAutospacing="1"/>
      </w:pPr>
      <w:r>
        <w:rPr>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