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BỘ TÀI CHÍNH</w:t>
            </w:r>
            <w:r>
              <w:rPr>
                <w:rtl w:val="0"/>
              </w:rPr>
              <w:br/>
            </w:r>
            <w:r>
              <w:rPr>
                <w:b/>
                <w:bCs/>
                <w:rtl w:val="0"/>
              </w:rPr>
              <w:t>CỤC THUẾ</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rPr>
                <w:rtl w:val="0"/>
              </w:rPr>
            </w:pPr>
            <w:bookmarkStart w:id="0" w:name="loai_1"/>
            <w:r>
              <w:rPr>
                <w:rtl w:val="0"/>
              </w:rPr>
              <w:t>Số: 6078/CT-NVT</w:t>
            </w:r>
            <w:bookmarkEnd w:id="0"/>
            <w:r>
              <w:rPr>
                <w:rtl w:val="0"/>
              </w:rPr>
              <w:br/>
            </w:r>
            <w:bookmarkStart w:id="1" w:name="loai_1_name"/>
            <w:r>
              <w:rPr>
                <w:i/>
                <w:iCs/>
                <w:sz w:val="16"/>
                <w:rtl w:val="0"/>
              </w:rPr>
              <w:t>V/v đăng ký thuế đối với cá nhân hoạt động đại lý bảo hiểm</w:t>
            </w:r>
            <w:bookmarkEnd w:id="1"/>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w:t>
            </w:r>
            <w:r>
              <w:rPr>
                <w:rtl w:val="0"/>
              </w:rPr>
              <w:t xml:space="preserve"> 20 </w:t>
            </w:r>
            <w:r>
              <w:rPr>
                <w:i/>
                <w:iCs/>
                <w:rtl w:val="0"/>
              </w:rPr>
              <w:t>tháng 8 năm 2026</w:t>
            </w:r>
          </w:p>
        </w:tc>
      </w:tr>
    </w:tbl>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2212"/>
        <w:gridCol w:w="6428"/>
      </w:tblGrid>
      <w:tr>
        <w:tblPrEx>
          <w:tblW w:w="5000" w:type="pct"/>
          <w:jc w:val="left"/>
          <w:tblCellMar>
            <w:top w:w="0" w:type="dxa"/>
            <w:left w:w="0" w:type="dxa"/>
            <w:bottom w:w="0" w:type="dxa"/>
            <w:right w:w="0" w:type="dxa"/>
          </w:tblCellMar>
        </w:tblPrEx>
        <w:trPr>
          <w:jc w:val="left"/>
        </w:trPr>
        <w:tc>
          <w:tcPr>
            <w:tcW w:w="1280" w:type="pct"/>
            <w:shd w:val="clear" w:color="auto" w:fill="auto"/>
            <w:tcMar>
              <w:top w:w="0" w:type="dxa"/>
              <w:left w:w="108" w:type="dxa"/>
              <w:bottom w:w="0" w:type="dxa"/>
              <w:right w:w="108" w:type="dxa"/>
            </w:tcMar>
          </w:tcPr>
          <w:p>
            <w:pPr>
              <w:bidi w:val="0"/>
              <w:spacing w:before="120" w:beforeAutospacing="0" w:after="0" w:afterAutospacing="0"/>
              <w:jc w:val="right"/>
            </w:pPr>
            <w:r>
              <w:rPr>
                <w:b/>
                <w:bCs/>
                <w:rtl w:val="0"/>
              </w:rPr>
              <w:t>Kính gửi:</w:t>
            </w:r>
          </w:p>
        </w:tc>
        <w:tc>
          <w:tcPr>
            <w:tcW w:w="3720" w:type="pct"/>
            <w:shd w:val="clear" w:color="auto" w:fill="auto"/>
            <w:tcMar>
              <w:top w:w="0" w:type="dxa"/>
              <w:left w:w="108" w:type="dxa"/>
              <w:bottom w:w="0" w:type="dxa"/>
              <w:right w:w="108" w:type="dxa"/>
            </w:tcMar>
          </w:tcPr>
          <w:p>
            <w:pPr>
              <w:bidi w:val="0"/>
              <w:spacing w:before="120" w:beforeAutospacing="0" w:after="0" w:afterAutospacing="0"/>
            </w:pPr>
            <w:r>
              <w:rPr>
                <w:rtl w:val="0"/>
              </w:rPr>
              <w:t>- Hiệp hội Bảo hiểm Việt Nam</w:t>
            </w:r>
            <w:r>
              <w:rPr>
                <w:rtl w:val="0"/>
              </w:rPr>
              <w:br/>
            </w:r>
            <w:r>
              <w:rPr>
                <w:i/>
                <w:iCs/>
                <w:rtl w:val="0"/>
              </w:rPr>
              <w:t>(Đ/c: Tầng 5, số 141 Lê Duẩn, Phường Cửa Nam, TP. Hà Nội);</w:t>
            </w:r>
            <w:r>
              <w:rPr>
                <w:rtl w:val="0"/>
              </w:rPr>
              <w:br/>
            </w:r>
            <w:r>
              <w:rPr>
                <w:rtl w:val="0"/>
              </w:rPr>
              <w:t>- Thuế TP. Hà Nội.</w:t>
            </w:r>
          </w:p>
        </w:tc>
      </w:tr>
    </w:tbl>
    <w:p>
      <w:pPr>
        <w:bidi w:val="0"/>
        <w:spacing w:before="120" w:beforeAutospacing="0" w:after="280" w:afterAutospacing="1"/>
      </w:pPr>
      <w:r>
        <w:rPr>
          <w:rtl w:val="0"/>
        </w:rPr>
        <w:t>Cục Thuế nhận được công văn số 226/2026/CV-HHBH ngày 23/7/2026 của Hiệp hội Bảo hiểm Việt Nam và công văn số 39582/HAN-NVDTPC ngày 03/8/2026 của Thuế TP. Hà Nội vướng mắc về việc đăng ký thuế đối với cá nhân hoạt động đại lý bảo hiểm. Về việc này, sau khi lấy ý kiến các đơn vị chức năng thuộc Bộ Tài chính (Vụ Pháp chế, Cục Phát triển doanh nghiệp tư nhân và kinh tế tập thể, Cục Quản lý, giám sát bảo hiểm, Cục Quản lý, giám sát chính sách thuế, phí và lệ phí), Cục Thuế có ý kiến như sau:</w:t>
      </w:r>
    </w:p>
    <w:p>
      <w:pPr>
        <w:bidi w:val="0"/>
        <w:spacing w:before="120" w:beforeAutospacing="0" w:after="280" w:afterAutospacing="1"/>
      </w:pPr>
      <w:bookmarkStart w:id="2" w:name="dieu_1"/>
      <w:r>
        <w:rPr>
          <w:rtl w:val="0"/>
        </w:rPr>
        <w:t>1. Về việc đăng ký thuế đối với cá nhân hoạt động đại lý bảo hiểm</w:t>
      </w:r>
      <w:bookmarkEnd w:id="2"/>
    </w:p>
    <w:p>
      <w:pPr>
        <w:bidi w:val="0"/>
        <w:spacing w:before="120" w:beforeAutospacing="0" w:after="280" w:afterAutospacing="1"/>
      </w:pPr>
      <w:r>
        <w:rPr>
          <w:rtl w:val="0"/>
        </w:rPr>
        <w:t>Căn cứ các quy định tại:</w:t>
      </w:r>
    </w:p>
    <w:p>
      <w:pPr>
        <w:bidi w:val="0"/>
        <w:spacing w:before="120" w:beforeAutospacing="0" w:after="280" w:afterAutospacing="1"/>
      </w:pPr>
      <w:r>
        <w:rPr>
          <w:rtl w:val="0"/>
        </w:rPr>
        <w:t xml:space="preserve">- </w:t>
      </w:r>
      <w:bookmarkStart w:id="3" w:name="dc_1"/>
      <w:r>
        <w:rPr>
          <w:rtl w:val="0"/>
        </w:rPr>
        <w:t>Điểm c khoản 1 Điều 3 Luật Thuế thu nhập cá nhân số 109/2025/QH15</w:t>
      </w:r>
      <w:bookmarkEnd w:id="3"/>
      <w:r>
        <w:rPr>
          <w:rtl w:val="0"/>
        </w:rPr>
        <w:t xml:space="preserve">, </w:t>
      </w:r>
      <w:bookmarkStart w:id="4" w:name="dc_2"/>
      <w:r>
        <w:rPr>
          <w:rtl w:val="0"/>
        </w:rPr>
        <w:t>khoản 3 Điều 7 Nghị định số 253/2026/NĐ-CP</w:t>
      </w:r>
      <w:bookmarkEnd w:id="4"/>
      <w:r>
        <w:rPr>
          <w:rtl w:val="0"/>
        </w:rPr>
        <w:t>;</w:t>
      </w:r>
    </w:p>
    <w:p>
      <w:pPr>
        <w:bidi w:val="0"/>
        <w:spacing w:before="120" w:beforeAutospacing="0" w:after="280" w:afterAutospacing="1"/>
      </w:pPr>
      <w:r>
        <w:rPr>
          <w:rtl w:val="0"/>
        </w:rPr>
        <w:t xml:space="preserve">- </w:t>
      </w:r>
      <w:bookmarkStart w:id="5" w:name="dc_3"/>
      <w:r>
        <w:rPr>
          <w:rtl w:val="0"/>
        </w:rPr>
        <w:t>Khoản 2, khoản 3 Điều 10 tại Luật Quản lý thuế số 108/2025/QH15</w:t>
      </w:r>
      <w:bookmarkEnd w:id="5"/>
      <w:r>
        <w:rPr>
          <w:rtl w:val="0"/>
        </w:rPr>
        <w:t xml:space="preserve">; </w:t>
      </w:r>
      <w:bookmarkStart w:id="6" w:name="dc_4"/>
      <w:r>
        <w:rPr>
          <w:rtl w:val="0"/>
        </w:rPr>
        <w:t>Điểm k khoản 2 Điều 4 Thông tư số 90/2026/TT-BTC</w:t>
      </w:r>
      <w:bookmarkEnd w:id="6"/>
      <w:r>
        <w:rPr>
          <w:rtl w:val="0"/>
        </w:rPr>
        <w:t>;</w:t>
      </w:r>
    </w:p>
    <w:p>
      <w:pPr>
        <w:bidi w:val="0"/>
        <w:spacing w:before="120" w:beforeAutospacing="0" w:after="280" w:afterAutospacing="1"/>
      </w:pPr>
      <w:r>
        <w:rPr>
          <w:rtl w:val="0"/>
        </w:rPr>
        <w:t xml:space="preserve">- </w:t>
      </w:r>
      <w:bookmarkStart w:id="7" w:name="dc_5"/>
      <w:r>
        <w:rPr>
          <w:rtl w:val="0"/>
        </w:rPr>
        <w:t>Điều 124, Điều 125 Luật Kinh doanh bảo hiểm số 08/2022/QH15</w:t>
      </w:r>
      <w:bookmarkEnd w:id="7"/>
      <w:r>
        <w:rPr>
          <w:rtl w:val="0"/>
        </w:rPr>
        <w:t xml:space="preserve"> (được sửa đổi, bổ sung bởi Luật số 139/2025/QH15);</w:t>
      </w:r>
    </w:p>
    <w:p>
      <w:pPr>
        <w:bidi w:val="0"/>
        <w:spacing w:before="120" w:beforeAutospacing="0" w:after="280" w:afterAutospacing="1"/>
      </w:pPr>
      <w:r>
        <w:rPr>
          <w:rtl w:val="0"/>
        </w:rPr>
        <w:t xml:space="preserve">- </w:t>
      </w:r>
      <w:bookmarkStart w:id="8" w:name="dc_6"/>
      <w:r>
        <w:rPr>
          <w:rtl w:val="0"/>
        </w:rPr>
        <w:t>Khoản 1 Điều 2, Điều 82, Điều 83, khoản 4 Điều 89 Nghị định số 168/2025/NĐ-CP</w:t>
      </w:r>
      <w:bookmarkEnd w:id="8"/>
      <w:r>
        <w:rPr>
          <w:rtl w:val="0"/>
        </w:rPr>
        <w:t xml:space="preserve"> (được sửa đổi, bổ sung bởi Nghị định số 296/2026/NĐ-CP);</w:t>
      </w:r>
    </w:p>
    <w:p>
      <w:pPr>
        <w:bidi w:val="0"/>
        <w:spacing w:before="120" w:beforeAutospacing="0" w:after="280" w:afterAutospacing="1"/>
      </w:pPr>
      <w:r>
        <w:rPr>
          <w:rtl w:val="0"/>
        </w:rPr>
        <w:t>Căn cứ các quy định nêu trên, việc đăng ký thuế đối với cá nhân hoạt động đại lý bảo hiểm thực hiện như sau:</w:t>
      </w:r>
    </w:p>
    <w:p>
      <w:pPr>
        <w:bidi w:val="0"/>
        <w:spacing w:before="120" w:beforeAutospacing="0" w:after="280" w:afterAutospacing="1"/>
      </w:pPr>
      <w:r>
        <w:rPr>
          <w:rtl w:val="0"/>
        </w:rPr>
        <w:t>- Trường hợp cá nhân hoạt động đại lý bảo hiểm theo hình thức hộ kinh doanh thì thực hiện thủ tục đăng ký thuế cùng với thủ tục đăng ký hộ kinh doanh theo cơ chế một cửa liên thông qua cơ quan cơ quan đăng ký kinh doanh theo quy định tại Nghị định số 168/2025/NĐ-CP (được sửa đổi, bổ sung bởi Nghị định số 296/2026/NĐ-CP).</w:t>
      </w:r>
    </w:p>
    <w:p>
      <w:pPr>
        <w:bidi w:val="0"/>
        <w:spacing w:before="120" w:beforeAutospacing="0" w:after="280" w:afterAutospacing="1"/>
      </w:pPr>
      <w:r>
        <w:rPr>
          <w:rtl w:val="0"/>
        </w:rPr>
        <w:t xml:space="preserve">- Trường hợp cá nhân hoạt động đại lý bảo hiểm mà không thành lập hộ kinh doanh thì thực hiện đăng ký thuế trực tiếp với cơ quan thuế theo quy định tại Thông tư số 90/2026/TT-BTC. </w:t>
      </w:r>
    </w:p>
    <w:p>
      <w:pPr>
        <w:bidi w:val="0"/>
        <w:spacing w:before="120" w:beforeAutospacing="0" w:after="280" w:afterAutospacing="1"/>
      </w:pPr>
      <w:bookmarkStart w:id="9" w:name="dieu_2"/>
      <w:r>
        <w:rPr>
          <w:rtl w:val="0"/>
        </w:rPr>
        <w:t>2. Về việc thực hiện đăng ký thuế trên ứng dụng Etax Mobile</w:t>
      </w:r>
      <w:bookmarkEnd w:id="9"/>
    </w:p>
    <w:p>
      <w:pPr>
        <w:bidi w:val="0"/>
        <w:spacing w:before="120" w:beforeAutospacing="0" w:after="280" w:afterAutospacing="1"/>
      </w:pPr>
      <w:r>
        <w:rPr>
          <w:rtl w:val="0"/>
        </w:rPr>
        <w:t>Cục Thuế ghi nhận phản ánh của Hiệp hội Bảo hiểm Việt Nam để nâng cấp ứng dụng Etax Mobile bổ sung trường lựa chọn thông tin phù hợp cho người nộp thuế đăng ký thuế ngoài các trường hợp ứng dụng đang hiển thị hiện nay. Trong thời gian ứng dụng chưa nâng cấp, cá nhân hoạt động đại lý bảo hiểm mà không thành lập hộ kinh doanh, khi đăng ký thuế qua ứng dụng Etax Mobile tích chọn ô “Hộ gia đình sản xuất nông, lâm, ngư nghiệp, làm muối và những người bán hàng rong, quà vặt, buôn chuyến, kinh doanh lưu động, kinh doanh thời vụ, làm dịch vụ có thu nhập thấp không phải đăng ký hộ kinh doanh, trừ trường hợp kinh doanh các ngành nghề đầu tư kinh doanh có điều kiện. UBND tỉnh, thành phố quy định mức thu nhập thấp áp dụng trên phạm vi địa phương” để thực hiện thủ tục.</w:t>
      </w:r>
    </w:p>
    <w:p>
      <w:pPr>
        <w:bidi w:val="0"/>
        <w:spacing w:before="120" w:beforeAutospacing="0" w:after="280" w:afterAutospacing="1"/>
      </w:pPr>
      <w:r>
        <w:rPr>
          <w:rtl w:val="0"/>
        </w:rPr>
        <w:t xml:space="preserve">Cục Thuế có ý kiến để Hiệp hội Bảo hiểm Việt Nam, Thuế TP. Hà Nội được biết./.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Như trên;</w:t>
            </w:r>
            <w:r>
              <w:rPr>
                <w:sz w:val="16"/>
                <w:rtl w:val="0"/>
              </w:rPr>
              <w:br/>
            </w:r>
            <w:r>
              <w:rPr>
                <w:sz w:val="16"/>
                <w:rtl w:val="0"/>
              </w:rPr>
              <w:t>- Đồng chí Cục trưởng (để b/c);</w:t>
            </w:r>
            <w:r>
              <w:rPr>
                <w:sz w:val="16"/>
                <w:rtl w:val="0"/>
              </w:rPr>
              <w:br/>
            </w:r>
            <w:r>
              <w:rPr>
                <w:sz w:val="16"/>
                <w:rtl w:val="0"/>
              </w:rPr>
              <w:t>- Văn phòng Bộ (để b/c Lãnh đạo Bộ);</w:t>
            </w:r>
            <w:r>
              <w:rPr>
                <w:sz w:val="16"/>
                <w:rtl w:val="0"/>
              </w:rPr>
              <w:br/>
            </w:r>
            <w:r>
              <w:rPr>
                <w:sz w:val="16"/>
                <w:rtl w:val="0"/>
              </w:rPr>
              <w:t>- Các Vụ/đơn vị thuộc Bộ Tài chính: PC, CST, DNTN, QLBH;</w:t>
            </w:r>
            <w:r>
              <w:rPr>
                <w:sz w:val="16"/>
                <w:rtl w:val="0"/>
              </w:rPr>
              <w:br/>
            </w:r>
            <w:r>
              <w:rPr>
                <w:sz w:val="16"/>
                <w:rtl w:val="0"/>
              </w:rPr>
              <w:t>- Các Ban/đơn vị thuộc Cục Thuế: CS, PC, QLTT, CĐS, DNL, TMĐT;</w:t>
            </w:r>
            <w:r>
              <w:rPr>
                <w:sz w:val="16"/>
                <w:rtl w:val="0"/>
              </w:rPr>
              <w:br/>
            </w:r>
            <w:r>
              <w:rPr>
                <w:sz w:val="16"/>
                <w:rtl w:val="0"/>
              </w:rPr>
              <w:t>- Thuế các tỉnh, thành phố;</w:t>
            </w:r>
            <w:r>
              <w:rPr>
                <w:sz w:val="16"/>
                <w:rtl w:val="0"/>
              </w:rPr>
              <w:br/>
            </w:r>
            <w:r>
              <w:rPr>
                <w:sz w:val="16"/>
                <w:rtl w:val="0"/>
              </w:rPr>
              <w:t>- Lưu: VT, NVT.</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TL. CỤC TRƯỞNG</w:t>
            </w:r>
            <w:r>
              <w:rPr>
                <w:rtl w:val="0"/>
              </w:rPr>
              <w:br/>
            </w:r>
            <w:r>
              <w:rPr>
                <w:b/>
                <w:bCs/>
                <w:rtl w:val="0"/>
              </w:rPr>
              <w:t>TRƯỞNG BAN NGHIỆP VỤ THUẾ</w:t>
            </w:r>
            <w:r>
              <w:rPr>
                <w:rtl w:val="0"/>
              </w:rPr>
              <w:br/>
            </w:r>
            <w:r>
              <w:rPr>
                <w:rtl w:val="0"/>
              </w:rPr>
              <w:br/>
            </w:r>
            <w:r>
              <w:rPr>
                <w:rtl w:val="0"/>
              </w:rPr>
              <w:br/>
            </w:r>
            <w:r>
              <w:rPr>
                <w:rtl w:val="0"/>
              </w:rPr>
              <w:br/>
            </w:r>
            <w:r>
              <w:rPr>
                <w:b/>
                <w:bCs/>
                <w:rtl w:val="0"/>
              </w:rPr>
              <w:br/>
            </w:r>
            <w:r>
              <w:rPr>
                <w:b/>
                <w:bCs/>
                <w:rtl w:val="0"/>
              </w:rPr>
              <w:t>Nguyễn Thị Thu</w:t>
            </w:r>
          </w:p>
        </w:tc>
      </w:tr>
    </w:tbl>
    <w:p>
      <w:pPr>
        <w:bidi w:val="0"/>
        <w:spacing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