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039"/>
        <w:gridCol w:w="5601"/>
      </w:tblGrid>
      <w:tr>
        <w:tblPrEx>
          <w:tblW w:w="5000" w:type="pct"/>
          <w:jc w:val="left"/>
          <w:tblCellMar>
            <w:top w:w="0" w:type="dxa"/>
            <w:left w:w="0" w:type="dxa"/>
            <w:bottom w:w="0" w:type="dxa"/>
            <w:right w:w="0" w:type="dxa"/>
          </w:tblCellMar>
        </w:tblPrEx>
        <w:trPr>
          <w:jc w:val="left"/>
        </w:trPr>
        <w:tc>
          <w:tcPr>
            <w:tcW w:w="368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CỤC THUẾ</w:t>
            </w:r>
            <w:r>
              <w:rPr>
                <w:rtl w:val="0"/>
              </w:rPr>
              <w:br/>
            </w:r>
            <w:r>
              <w:rPr>
                <w:b/>
                <w:bCs/>
                <w:rtl w:val="0"/>
              </w:rPr>
              <w:t>THUẾ THÀNH PHỐ HÀ NỘI</w:t>
            </w:r>
            <w:r>
              <w:rPr>
                <w:b/>
                <w:bCs/>
                <w:rtl w:val="0"/>
              </w:rPr>
              <w:br/>
            </w:r>
            <w:r>
              <w:rPr>
                <w:b/>
                <w:bCs/>
                <w:rtl w:val="0"/>
              </w:rPr>
              <w:t>-------</w:t>
            </w:r>
          </w:p>
        </w:tc>
        <w:tc>
          <w:tcPr>
            <w:tcW w:w="5385"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686"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Số: 43570/HAN-QLĐ</w:t>
            </w:r>
            <w:r>
              <w:rPr>
                <w:rtl w:val="0"/>
              </w:rPr>
              <w:br/>
            </w:r>
            <w:r>
              <w:rPr>
                <w:i/>
                <w:iCs/>
                <w:sz w:val="16"/>
                <w:rtl w:val="0"/>
              </w:rPr>
              <w:t>V/v triển khai thực hiện Thông tư số 117/2026/TT-BTC ngày 14/8/2026 của Bộ Tài chính quy định miễn, giảm lệ phí trước bạ về đất đối với nhà, đất nhận chuyển nhượng</w:t>
            </w:r>
          </w:p>
        </w:tc>
        <w:tc>
          <w:tcPr>
            <w:tcW w:w="5385"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24 tháng 8 năm 2026</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Kính gửi:</w:t>
      </w:r>
      <w:r>
        <w:rPr>
          <w:rtl w:val="0"/>
        </w:rPr>
        <w:t xml:space="preserve"> Các Thuế cơ sở thành phố Hà Nội.</w:t>
      </w:r>
    </w:p>
    <w:p>
      <w:pPr>
        <w:bidi w:val="0"/>
        <w:spacing w:before="120" w:beforeAutospacing="0" w:after="280" w:afterAutospacing="1"/>
      </w:pPr>
      <w:r>
        <w:rPr>
          <w:rtl w:val="0"/>
        </w:rPr>
        <w:t>Ngày 09/7/2026, Chính phủ ban hành Nghị quyết số 66.22/2026/NQ-CP về phát triển công dân số, trong đó quy định chính sách miễn, giảm một số khoản phí, lệ phí đối với công dân sử dụng tài khoản định danh điện tử mức độ 2. Triển khai Nghị quyết nêu trên, ngày 14/8/2026 Bộ Tài chính ban hành Thông tư số 117/2026/TT-BTC quy định mức thu một số khoản phí, lệ phí nhằm hỗ trợ phát triển công dân số, có hiệu lực thi hành từ ngày 15/8/2026 đến hết ngày 28/02/2027.</w:t>
      </w:r>
    </w:p>
    <w:p>
      <w:pPr>
        <w:bidi w:val="0"/>
        <w:spacing w:before="120" w:beforeAutospacing="0" w:after="280" w:afterAutospacing="1"/>
      </w:pPr>
      <w:r>
        <w:rPr>
          <w:rtl w:val="0"/>
        </w:rPr>
        <w:t>Để việc triển khai thực hiện được thống nhất, kịp thời, đúng quy định và tạo thuận lợi tối đa cho người nộp thuế, Thuế thành phố Hà Nội hướng dẫn và yêu cầu các Thuế cơ sở thực hiện một số nội dung sau:</w:t>
      </w:r>
    </w:p>
    <w:p>
      <w:pPr>
        <w:bidi w:val="0"/>
        <w:spacing w:before="120" w:beforeAutospacing="0" w:after="280" w:afterAutospacing="1"/>
      </w:pPr>
      <w:r>
        <w:rPr>
          <w:b/>
          <w:bCs/>
          <w:rtl w:val="0"/>
        </w:rPr>
        <w:t>1. Mức giảm:</w:t>
      </w:r>
    </w:p>
    <w:p>
      <w:pPr>
        <w:bidi w:val="0"/>
        <w:spacing w:before="120" w:beforeAutospacing="0" w:after="280" w:afterAutospacing="1"/>
      </w:pPr>
      <w:r>
        <w:rPr>
          <w:rtl w:val="0"/>
        </w:rPr>
        <w:t>Giảm 10% mức thu lệ phí trước bạ đối với nhà, đất nhận chuyển nhượng khi đăng ký quyền sở hữu, quyền sử dụng theo quy định tại khoản 1 Điều 8 Nghị định số 10/2022/NĐ-CP quy định về lệ phí trước bạ.</w:t>
      </w:r>
    </w:p>
    <w:p>
      <w:pPr>
        <w:bidi w:val="0"/>
        <w:spacing w:before="120" w:beforeAutospacing="0" w:after="280" w:afterAutospacing="1"/>
      </w:pPr>
      <w:r>
        <w:rPr>
          <w:b/>
          <w:bCs/>
          <w:rtl w:val="0"/>
        </w:rPr>
        <w:t>2. Đối tượng áp dụng:</w:t>
      </w:r>
    </w:p>
    <w:p>
      <w:pPr>
        <w:bidi w:val="0"/>
        <w:spacing w:before="120" w:beforeAutospacing="0" w:after="280" w:afterAutospacing="1"/>
      </w:pPr>
      <w:r>
        <w:rPr>
          <w:rtl w:val="0"/>
        </w:rPr>
        <w:t>Công dân sử dụng tài khoản định danh điện tử mức độ 2 đáp ứng đủ các điều kiện quy định:</w:t>
      </w:r>
    </w:p>
    <w:p>
      <w:pPr>
        <w:bidi w:val="0"/>
        <w:spacing w:before="120" w:beforeAutospacing="0" w:after="280" w:afterAutospacing="1"/>
      </w:pPr>
      <w:r>
        <w:rPr>
          <w:rtl w:val="0"/>
        </w:rPr>
        <w:t>- Có tài khoản định danh điện tử mức độ 2;</w:t>
      </w:r>
    </w:p>
    <w:p>
      <w:pPr>
        <w:bidi w:val="0"/>
        <w:spacing w:before="120" w:beforeAutospacing="0" w:after="280" w:afterAutospacing="1"/>
      </w:pPr>
      <w:r>
        <w:rPr>
          <w:rtl w:val="0"/>
        </w:rPr>
        <w:t>- Đã tích hợp đủ 05 loại thông tin cơ bản trên ứng dụng VNeID, chi tiết tại Phụ lục kèm theo Công văn này.</w:t>
      </w:r>
    </w:p>
    <w:p>
      <w:pPr>
        <w:bidi w:val="0"/>
        <w:spacing w:before="120" w:beforeAutospacing="0" w:after="280" w:afterAutospacing="1"/>
      </w:pPr>
      <w:r>
        <w:rPr>
          <w:rtl w:val="0"/>
        </w:rPr>
        <w:t>- Thực hiện khai và nộp lệ phí trước bạ bằng phương thức điện tử.</w:t>
      </w:r>
    </w:p>
    <w:p>
      <w:pPr>
        <w:bidi w:val="0"/>
        <w:spacing w:before="120" w:beforeAutospacing="0" w:after="280" w:afterAutospacing="1"/>
      </w:pPr>
      <w:r>
        <w:rPr>
          <w:b/>
          <w:bCs/>
          <w:rtl w:val="0"/>
        </w:rPr>
        <w:t>3. Số lần được hưởng:</w:t>
      </w:r>
    </w:p>
    <w:p>
      <w:pPr>
        <w:bidi w:val="0"/>
        <w:spacing w:before="120" w:beforeAutospacing="0" w:after="280" w:afterAutospacing="1"/>
      </w:pPr>
      <w:r>
        <w:rPr>
          <w:rtl w:val="0"/>
        </w:rPr>
        <w:t>Áp dụng 01 lần duy nhất đối với mỗi loại tài sản cho 01 công dân trong 01 năm kể từ ngày Thông tư 117/2026/TT-BTC có hiệu lực thi hành và chỉ thực hiện trong thời gian Nghị quyết số 66.22/NQ-CP có hiệu lực</w:t>
      </w:r>
    </w:p>
    <w:p>
      <w:pPr>
        <w:bidi w:val="0"/>
        <w:spacing w:before="120" w:beforeAutospacing="0" w:after="280" w:afterAutospacing="1"/>
      </w:pPr>
      <w:r>
        <w:rPr>
          <w:b/>
          <w:bCs/>
          <w:rtl w:val="0"/>
        </w:rPr>
        <w:t>4. Thời gian áp dụng</w:t>
      </w:r>
    </w:p>
    <w:p>
      <w:pPr>
        <w:bidi w:val="0"/>
        <w:spacing w:before="120" w:beforeAutospacing="0" w:after="280" w:afterAutospacing="1"/>
      </w:pPr>
      <w:r>
        <w:rPr>
          <w:rtl w:val="0"/>
        </w:rPr>
        <w:t>Trong thời gian Thông tư 117/2026/TT-BTC của Bộ Tài chính có hiệu lực: Từ ngày 15/8/2026 đến hết ngày 28/02/2027; Từ ngày 01 tháng 3 năm 2027, mức thu các khoản phí, lệ phí quy định tại Điều 1 Thông tư này thực hiện theo quy định tại các Thông tư gốc và các văn bản sửa đổi, bổ sung hoặc thay thế (nếu có).</w:t>
      </w:r>
    </w:p>
    <w:p>
      <w:pPr>
        <w:bidi w:val="0"/>
        <w:spacing w:before="120" w:beforeAutospacing="0" w:after="280" w:afterAutospacing="1"/>
      </w:pPr>
      <w:r>
        <w:rPr>
          <w:b/>
          <w:bCs/>
          <w:rtl w:val="0"/>
        </w:rPr>
        <w:t>5. Tổ chức thực hiện:</w:t>
      </w:r>
    </w:p>
    <w:p>
      <w:pPr>
        <w:bidi w:val="0"/>
        <w:spacing w:before="120" w:beforeAutospacing="0" w:after="280" w:afterAutospacing="1"/>
      </w:pPr>
      <w:r>
        <w:rPr>
          <w:rtl w:val="0"/>
        </w:rPr>
        <w:t>Các Thuế cơ sở chủ động tuyên truyền, hướng dẫn người nộp lệ phí trước bạ kê khai đúng, đủ chỉ tiêu đề nghị giảm trên Tờ khai lệ phí trước bạ mẫu số 01/LPTB, tiếp tục phối hợp chặt chẽ với Trung tâm phục vụ hành chính công, Văn phòng đăng ký đất đai và UBND các phường/xã trong việc triển khai Thông tư số 117/2026/TT-BTC ngày 14/8/2026 của Bộ Tài chính.</w:t>
      </w:r>
    </w:p>
    <w:p>
      <w:pPr>
        <w:bidi w:val="0"/>
        <w:spacing w:before="120" w:beforeAutospacing="0" w:after="280" w:afterAutospacing="1"/>
      </w:pPr>
      <w:r>
        <w:rPr>
          <w:rtl w:val="0"/>
        </w:rPr>
        <w:t>Lưu ý:</w:t>
      </w:r>
    </w:p>
    <w:p>
      <w:pPr>
        <w:bidi w:val="0"/>
        <w:spacing w:before="120" w:beforeAutospacing="0" w:after="280" w:afterAutospacing="1"/>
      </w:pPr>
      <w:r>
        <w:rPr>
          <w:rtl w:val="0"/>
        </w:rPr>
        <w:t>- Việc kiểm tra điều kiện được giảm thực hiện trên cơ sở kết quả xác thực từ hệ thống định danh và xác thực điện tử. Không yêu cầu người nộp lệ phí trước bạ nộp thêm bất kỳ giấy tờ nào ngoài thành phần hồ sơ quy định.</w:t>
      </w:r>
    </w:p>
    <w:p>
      <w:pPr>
        <w:bidi w:val="0"/>
        <w:spacing w:before="120" w:beforeAutospacing="0" w:after="280" w:afterAutospacing="1"/>
      </w:pPr>
      <w:r>
        <w:rPr>
          <w:rtl w:val="0"/>
        </w:rPr>
        <w:t>- Trước khi giải quyết giảm, thực hiện tra cứu trên hệ thống theo số định danh cá nhân/mã số thuế của người nộp lệ phí trước bạ để xác định trong năm đã được hưởng chính sách giảm hay chưa, bảo đảm nguyên tắc mỗi công dân chỉ được hưởng 01 lần trong 01 năm.</w:t>
      </w:r>
    </w:p>
    <w:p>
      <w:pPr>
        <w:bidi w:val="0"/>
        <w:spacing w:before="120" w:beforeAutospacing="0" w:after="280" w:afterAutospacing="1"/>
      </w:pPr>
      <w:r>
        <w:rPr>
          <w:rtl w:val="0"/>
        </w:rPr>
        <w:t>Thuế thành phố Hà Nội yêu cầu các Thuế cơ sở nghiêm túc triển khai thực hiện./.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048"/>
        <w:gridCol w:w="4592"/>
      </w:tblGrid>
      <w:tr>
        <w:tblPrEx>
          <w:tblW w:w="5000" w:type="pct"/>
          <w:jc w:val="left"/>
          <w:tblCellMar>
            <w:top w:w="0" w:type="dxa"/>
            <w:left w:w="0" w:type="dxa"/>
            <w:bottom w:w="0" w:type="dxa"/>
            <w:right w:w="0" w:type="dxa"/>
          </w:tblCellMar>
        </w:tblPrEx>
        <w:trPr>
          <w:jc w:val="left"/>
        </w:trPr>
        <w:tc>
          <w:tcPr>
            <w:tcW w:w="4253" w:type="dxa"/>
            <w:shd w:val="clear" w:color="auto" w:fill="auto"/>
            <w:tcMar>
              <w:top w:w="0" w:type="dxa"/>
              <w:left w:w="108" w:type="dxa"/>
              <w:bottom w:w="0" w:type="dxa"/>
              <w:right w:w="108" w:type="dxa"/>
            </w:tcMar>
          </w:tcPr>
          <w:p>
            <w:pPr>
              <w:bidi w:val="0"/>
              <w:spacing w:before="120" w:beforeAutospacing="0" w:after="0" w:afterAutospacing="0" w:line="240" w:lineRule="atLeast"/>
              <w:ind w:left="0" w:right="0"/>
            </w:pPr>
            <w:r>
              <w:rPr>
                <w:i/>
                <w:iCs/>
                <w:rtl w:val="0"/>
              </w:rPr>
              <w:br/>
            </w:r>
            <w:r>
              <w:rPr>
                <w:b/>
                <w:bCs/>
                <w:i/>
                <w:iCs/>
                <w:rtl w:val="0"/>
              </w:rPr>
              <w:t>Nơi nhận:</w:t>
            </w:r>
            <w:r>
              <w:rPr>
                <w:b/>
                <w:bCs/>
                <w:i/>
                <w:iCs/>
                <w:rtl w:val="0"/>
              </w:rPr>
              <w:br/>
            </w:r>
            <w:r>
              <w:rPr>
                <w:sz w:val="16"/>
                <w:rtl w:val="0"/>
              </w:rPr>
              <w:t>-</w:t>
            </w:r>
            <w:r>
              <w:rPr>
                <w:sz w:val="16"/>
                <w:rtl w:val="0"/>
              </w:rPr>
              <w:t xml:space="preserve"> </w:t>
            </w:r>
            <w:r>
              <w:rPr>
                <w:sz w:val="16"/>
                <w:rtl w:val="0"/>
              </w:rPr>
              <w:t>Như</w:t>
            </w:r>
            <w:r>
              <w:rPr>
                <w:sz w:val="16"/>
                <w:rtl w:val="0"/>
              </w:rPr>
              <w:t xml:space="preserve"> </w:t>
            </w:r>
            <w:r>
              <w:rPr>
                <w:sz w:val="16"/>
                <w:rtl w:val="0"/>
              </w:rPr>
              <w:t xml:space="preserve">trên; </w:t>
            </w:r>
            <w:r>
              <w:rPr>
                <w:sz w:val="16"/>
                <w:rtl w:val="0"/>
              </w:rPr>
              <w:br/>
            </w:r>
            <w:r>
              <w:rPr>
                <w:sz w:val="16"/>
                <w:rtl w:val="0"/>
              </w:rPr>
              <w:t>- Đ/c Trưởng Thuế (để b/cáo);</w:t>
            </w:r>
            <w:r>
              <w:rPr>
                <w:sz w:val="16"/>
                <w:rtl w:val="0"/>
              </w:rPr>
              <w:br/>
            </w:r>
            <w:r>
              <w:rPr>
                <w:sz w:val="16"/>
                <w:rtl w:val="0"/>
              </w:rPr>
              <w:t>- Các đ/c Phó trưởng Thuế TP (để chỉ đạo);</w:t>
            </w:r>
            <w:r>
              <w:rPr>
                <w:sz w:val="16"/>
                <w:rtl w:val="0"/>
              </w:rPr>
              <w:br/>
            </w:r>
            <w:r>
              <w:rPr>
                <w:sz w:val="16"/>
                <w:rtl w:val="0"/>
              </w:rPr>
              <w:t>- Các phòng: VP, NVDTPC, QLRR (đ</w:t>
            </w:r>
            <w:r>
              <w:rPr>
                <w:sz w:val="16"/>
                <w:rtl w:val="0"/>
              </w:rPr>
              <w:t>ể</w:t>
            </w:r>
            <w:r>
              <w:rPr>
                <w:sz w:val="16"/>
                <w:rtl w:val="0"/>
              </w:rPr>
              <w:t xml:space="preserve"> p/h</w:t>
            </w:r>
            <w:r>
              <w:rPr>
                <w:sz w:val="16"/>
                <w:rtl w:val="0"/>
              </w:rPr>
              <w:t>ợ</w:t>
            </w:r>
            <w:r>
              <w:rPr>
                <w:sz w:val="16"/>
                <w:rtl w:val="0"/>
              </w:rPr>
              <w:t>p);</w:t>
            </w:r>
            <w:r>
              <w:rPr>
                <w:sz w:val="16"/>
                <w:rtl w:val="0"/>
              </w:rPr>
              <w:br/>
            </w:r>
            <w:r>
              <w:rPr>
                <w:sz w:val="16"/>
                <w:rtl w:val="0"/>
              </w:rPr>
              <w:t>- UBND các phường/xã (để p/h</w:t>
            </w:r>
            <w:r>
              <w:rPr>
                <w:sz w:val="16"/>
                <w:rtl w:val="0"/>
              </w:rPr>
              <w:t>ợ</w:t>
            </w:r>
            <w:r>
              <w:rPr>
                <w:sz w:val="16"/>
                <w:rtl w:val="0"/>
              </w:rPr>
              <w:t>p);</w:t>
            </w:r>
            <w:r>
              <w:rPr>
                <w:sz w:val="16"/>
                <w:rtl w:val="0"/>
              </w:rPr>
              <w:br/>
            </w:r>
            <w:r>
              <w:rPr>
                <w:sz w:val="16"/>
                <w:rtl w:val="0"/>
              </w:rPr>
              <w:t>- VPĐKĐĐ TP Hà Nội (để p/hợp);</w:t>
            </w:r>
            <w:r>
              <w:rPr>
                <w:sz w:val="16"/>
                <w:rtl w:val="0"/>
              </w:rPr>
              <w:br/>
            </w:r>
            <w:r>
              <w:rPr>
                <w:sz w:val="16"/>
                <w:rtl w:val="0"/>
              </w:rPr>
              <w:t>- Các CN VPĐKĐĐ TP Hà N</w:t>
            </w:r>
            <w:r>
              <w:rPr>
                <w:sz w:val="16"/>
                <w:rtl w:val="0"/>
              </w:rPr>
              <w:t>ộ</w:t>
            </w:r>
            <w:r>
              <w:rPr>
                <w:sz w:val="16"/>
                <w:rtl w:val="0"/>
              </w:rPr>
              <w:t>i (để p/hợp);</w:t>
            </w:r>
            <w:r>
              <w:rPr>
                <w:sz w:val="16"/>
                <w:rtl w:val="0"/>
              </w:rPr>
              <w:br/>
            </w:r>
            <w:r>
              <w:rPr>
                <w:sz w:val="16"/>
                <w:rtl w:val="0"/>
              </w:rPr>
              <w:t>- Lưu: VT, QLĐ</w:t>
            </w:r>
            <w:r>
              <w:rPr>
                <w:sz w:val="16"/>
                <w:vertAlign w:val="subscript"/>
                <w:rtl w:val="0"/>
              </w:rPr>
              <w:t>Thái</w:t>
            </w:r>
            <w:r>
              <w:rPr>
                <w:sz w:val="16"/>
                <w:vertAlign w:val="superscript"/>
                <w:rtl w:val="0"/>
              </w:rPr>
              <w:t>.</w:t>
            </w:r>
          </w:p>
        </w:tc>
        <w:tc>
          <w:tcPr>
            <w:tcW w:w="4818" w:type="dxa"/>
            <w:shd w:val="clear" w:color="auto" w:fill="auto"/>
            <w:tcMar>
              <w:top w:w="0" w:type="dxa"/>
              <w:left w:w="108" w:type="dxa"/>
              <w:bottom w:w="0" w:type="dxa"/>
              <w:right w:w="108" w:type="dxa"/>
            </w:tcMar>
          </w:tcPr>
          <w:p>
            <w:pPr>
              <w:bidi w:val="0"/>
              <w:spacing w:before="120" w:beforeAutospacing="0" w:after="0" w:afterAutospacing="0" w:line="240" w:lineRule="atLeast"/>
              <w:ind w:left="0" w:right="0"/>
              <w:jc w:val="center"/>
            </w:pPr>
            <w:r>
              <w:rPr>
                <w:b/>
                <w:bCs/>
                <w:rtl w:val="0"/>
              </w:rPr>
              <w:t>KT. TRƯỞNG THUẾ THÀNH PHỐ</w:t>
            </w:r>
            <w:r>
              <w:rPr>
                <w:b/>
                <w:bCs/>
                <w:rtl w:val="0"/>
              </w:rPr>
              <w:br/>
            </w:r>
            <w:r>
              <w:rPr>
                <w:b/>
                <w:bCs/>
                <w:rtl w:val="0"/>
              </w:rPr>
              <w:t>PHÓ TRƯỞNG THUẾ THÀNH PHỐ</w:t>
            </w:r>
            <w:r>
              <w:rPr>
                <w:b/>
                <w:bCs/>
                <w:rtl w:val="0"/>
              </w:rPr>
              <w:br/>
            </w:r>
            <w:r>
              <w:rPr>
                <w:b/>
                <w:bCs/>
                <w:rtl w:val="0"/>
              </w:rPr>
              <w:br/>
            </w:r>
            <w:r>
              <w:rPr>
                <w:b/>
                <w:bCs/>
                <w:rtl w:val="0"/>
              </w:rPr>
              <w:br/>
            </w:r>
            <w:r>
              <w:rPr>
                <w:b/>
                <w:bCs/>
                <w:rtl w:val="0"/>
              </w:rPr>
              <w:br/>
            </w:r>
            <w:r>
              <w:rPr>
                <w:b/>
                <w:bCs/>
                <w:rtl w:val="0"/>
              </w:rPr>
              <w:br/>
            </w:r>
            <w:r>
              <w:rPr>
                <w:b/>
                <w:bCs/>
                <w:rtl w:val="0"/>
              </w:rPr>
              <w:t>Nguyễn H</w:t>
            </w:r>
            <w:r>
              <w:rPr>
                <w:b/>
                <w:bCs/>
                <w:rtl w:val="0"/>
              </w:rPr>
              <w:t>ồn</w:t>
            </w:r>
            <w:r>
              <w:rPr>
                <w:b/>
                <w:bCs/>
                <w:rtl w:val="0"/>
              </w:rPr>
              <w:t>g Thái</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