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BỘ TÀI CHÍNH</w:t>
            </w:r>
            <w:r>
              <w:rPr>
                <w:b/>
                <w:bCs/>
                <w:rtl w:val="0"/>
              </w:rPr>
              <w:br/>
            </w:r>
            <w:r>
              <w:rPr>
                <w:b/>
                <w:bCs/>
                <w:rtl w:val="0"/>
              </w:rPr>
              <w:t>CỤC THUẾ</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rPr>
                <w:rtl w:val="0"/>
              </w:rPr>
            </w:pPr>
            <w:bookmarkStart w:id="0" w:name="loai_1"/>
            <w:r>
              <w:rPr>
                <w:rtl w:val="0"/>
              </w:rPr>
              <w:t>Số: 4084/CT-CS</w:t>
            </w:r>
            <w:bookmarkEnd w:id="0"/>
            <w:r>
              <w:rPr>
                <w:rtl w:val="0"/>
              </w:rPr>
              <w:br/>
            </w:r>
            <w:bookmarkStart w:id="1" w:name="loai_1_name"/>
            <w:r>
              <w:rPr>
                <w:i/>
                <w:iCs/>
                <w:sz w:val="16"/>
                <w:rtl w:val="0"/>
              </w:rPr>
              <w:t>V/v trả lời công văn số 343/LCA-CNTK</w:t>
            </w:r>
            <w:bookmarkEnd w:id="1"/>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19 tháng 6 năm 2026</w:t>
            </w:r>
          </w:p>
        </w:tc>
      </w:tr>
    </w:tbl>
    <w:p>
      <w:pPr>
        <w:bidi w:val="0"/>
        <w:spacing w:before="120" w:beforeAutospacing="0" w:after="280" w:afterAutospacing="1"/>
      </w:pPr>
      <w:r>
        <w:rPr>
          <w:color w:val="000000"/>
          <w:rtl w:val="0"/>
        </w:rPr>
        <w:t> </w:t>
      </w:r>
    </w:p>
    <w:p>
      <w:pPr>
        <w:bidi w:val="0"/>
        <w:spacing w:before="120" w:beforeAutospacing="0" w:after="280" w:afterAutospacing="1"/>
        <w:jc w:val="center"/>
      </w:pPr>
      <w:r>
        <w:rPr>
          <w:b/>
          <w:bCs/>
          <w:color w:val="000000"/>
          <w:rtl w:val="0"/>
        </w:rPr>
        <w:t>Kính gửi:</w:t>
      </w:r>
      <w:r>
        <w:rPr>
          <w:color w:val="000000"/>
          <w:rtl w:val="0"/>
        </w:rPr>
        <w:t xml:space="preserve"> Thuế tỉnh Lào Cai</w:t>
      </w:r>
    </w:p>
    <w:p>
      <w:pPr>
        <w:bidi w:val="0"/>
        <w:spacing w:before="120" w:beforeAutospacing="0" w:after="280" w:afterAutospacing="1"/>
      </w:pPr>
      <w:r>
        <w:rPr>
          <w:color w:val="000000"/>
          <w:rtl w:val="0"/>
        </w:rPr>
        <w:t>Cục Thuế nhận được công văn số 343/LCA-CNTK ngày 26/2/2026 của Thuế tỉnh Lào Cai về khoản thu kinh phí đóng góp của tổ chức, cá nhân khai thác khoáng sản theo Nghị định số 193/2025/NĐ-CP và Nghị quyết số 37/2025/NQ-HĐND ngày 29/11/2025 của Hội đồng nhân dân tỉnh Lào Cai. Về vấn đề này, Cục Thuế có ý kiến như sau:</w:t>
      </w:r>
    </w:p>
    <w:p>
      <w:pPr>
        <w:bidi w:val="0"/>
        <w:spacing w:before="120" w:beforeAutospacing="0" w:after="280" w:afterAutospacing="1"/>
      </w:pPr>
      <w:bookmarkStart w:id="2" w:name="dieu_1"/>
      <w:r>
        <w:rPr>
          <w:b/>
          <w:bCs/>
          <w:color w:val="000000"/>
          <w:rtl w:val="0"/>
        </w:rPr>
        <w:t>1. Về quản lý thuế đối với khoản đóng góp của tổ chức, cá nhân khai thác khoáng theo quy định để đầu tư nâng cấp, duy tu, xây dựng các công trình hạ tầng kỹ thuật, công trình bảo vệ môi trường.</w:t>
      </w:r>
      <w:bookmarkEnd w:id="2"/>
    </w:p>
    <w:p>
      <w:pPr>
        <w:bidi w:val="0"/>
        <w:spacing w:before="120" w:beforeAutospacing="0" w:after="280" w:afterAutospacing="1"/>
      </w:pPr>
      <w:r>
        <w:rPr>
          <w:color w:val="000000"/>
          <w:rtl w:val="0"/>
        </w:rPr>
        <w:t xml:space="preserve">- Căn cứ quy định tại </w:t>
      </w:r>
      <w:bookmarkStart w:id="3" w:name="dc_1"/>
      <w:r>
        <w:rPr>
          <w:color w:val="000000"/>
          <w:rtl w:val="0"/>
        </w:rPr>
        <w:t>điểm h khoản 2, điểm e khoản 3 Điều 3 Luật Quản lý thuế số 38/2019/QH15</w:t>
      </w:r>
      <w:bookmarkEnd w:id="3"/>
      <w:r>
        <w:rPr>
          <w:color w:val="000000"/>
          <w:rtl w:val="0"/>
        </w:rPr>
        <w:t>;</w:t>
      </w:r>
    </w:p>
    <w:p>
      <w:pPr>
        <w:bidi w:val="0"/>
        <w:spacing w:before="120" w:beforeAutospacing="0" w:after="280" w:afterAutospacing="1"/>
      </w:pPr>
      <w:r>
        <w:rPr>
          <w:color w:val="000000"/>
          <w:rtl w:val="0"/>
        </w:rPr>
        <w:t xml:space="preserve">- Căn cứ quy định tại </w:t>
      </w:r>
      <w:bookmarkStart w:id="4" w:name="dc_2"/>
      <w:r>
        <w:rPr>
          <w:color w:val="000000"/>
          <w:rtl w:val="0"/>
        </w:rPr>
        <w:t>điểm r khoản 1 Điều 38 và Điều 57 Luật Ngân sách nhà nước năm 2025</w:t>
      </w:r>
      <w:bookmarkEnd w:id="4"/>
      <w:r>
        <w:rPr>
          <w:color w:val="000000"/>
          <w:rtl w:val="0"/>
        </w:rPr>
        <w:t>;</w:t>
      </w:r>
    </w:p>
    <w:p>
      <w:pPr>
        <w:bidi w:val="0"/>
        <w:spacing w:before="120" w:beforeAutospacing="0" w:after="280" w:afterAutospacing="1"/>
      </w:pPr>
      <w:r>
        <w:rPr>
          <w:color w:val="000000"/>
          <w:rtl w:val="0"/>
        </w:rPr>
        <w:t xml:space="preserve">- Căn cứ quy định tại </w:t>
      </w:r>
      <w:bookmarkStart w:id="5" w:name="dc_3"/>
      <w:r>
        <w:rPr>
          <w:color w:val="000000"/>
          <w:rtl w:val="0"/>
        </w:rPr>
        <w:t>Điều 5 Nghị định số 193/2025/NĐ-CP</w:t>
      </w:r>
      <w:bookmarkEnd w:id="5"/>
      <w:r>
        <w:rPr>
          <w:color w:val="000000"/>
          <w:rtl w:val="0"/>
        </w:rPr>
        <w:t xml:space="preserve"> ngày 2/7/2025 của Chính phủ quy định chi tiết một số điều và biện pháp thi hành Luật Địa chất và khoáng sản;</w:t>
      </w:r>
    </w:p>
    <w:p>
      <w:pPr>
        <w:bidi w:val="0"/>
        <w:spacing w:before="120" w:beforeAutospacing="0" w:after="280" w:afterAutospacing="1"/>
      </w:pPr>
      <w:r>
        <w:rPr>
          <w:color w:val="000000"/>
          <w:rtl w:val="0"/>
        </w:rPr>
        <w:t xml:space="preserve">- Căn cứ quy định tại </w:t>
      </w:r>
      <w:bookmarkStart w:id="6" w:name="dc_4"/>
      <w:r>
        <w:rPr>
          <w:color w:val="000000"/>
          <w:rtl w:val="0"/>
        </w:rPr>
        <w:t>Điều 1, Điều 2 và Điều 3 Nghị quyết số 37/2025/NQ-HĐND</w:t>
      </w:r>
      <w:bookmarkEnd w:id="6"/>
      <w:r>
        <w:rPr>
          <w:color w:val="000000"/>
          <w:rtl w:val="0"/>
        </w:rPr>
        <w:t xml:space="preserve"> ngày 29/11/2025 của Hội đồng nhân dân tỉnh Lào Cai quy định về mức thu và quản lý, sử dụng kinh phí đóng góp của tổ chức, cá nhân khai thác khoáng sản trên địa bàn tỉnh Lào Cai.</w:t>
      </w:r>
    </w:p>
    <w:p>
      <w:pPr>
        <w:bidi w:val="0"/>
        <w:spacing w:before="120" w:beforeAutospacing="0" w:after="280" w:afterAutospacing="1"/>
      </w:pPr>
      <w:r>
        <w:rPr>
          <w:color w:val="000000"/>
          <w:rtl w:val="0"/>
        </w:rPr>
        <w:t>Căn cứ các quy định nêu trên, đề nghị Thuế tỉnh Lào Cai xin ý kiến Hội đồng nhân dân tỉnh Lào Cai để có cơ sở thực hiện quản lý thu các khoản đóng góp của tổ chức, cá nhân khai thác khoáng sản theo quy định tại Nghị quyết số 37/2025/NQ-HĐND.</w:t>
      </w:r>
    </w:p>
    <w:p>
      <w:pPr>
        <w:bidi w:val="0"/>
        <w:spacing w:before="120" w:beforeAutospacing="0" w:after="280" w:afterAutospacing="1"/>
      </w:pPr>
      <w:r>
        <w:rPr>
          <w:color w:val="000000"/>
          <w:rtl w:val="0"/>
        </w:rPr>
        <w:t xml:space="preserve">Đối với vướng mắc của Thuế tỉnh Lào Cai, Cục Thuế sẽ tổng hợp nội dung trên để kiến nghị Bộ Nông nghiệp và Môi trường nghiên cứu sửa đổi, bổ sung </w:t>
      </w:r>
      <w:bookmarkStart w:id="7" w:name="dc_5"/>
      <w:r>
        <w:rPr>
          <w:color w:val="000000"/>
          <w:rtl w:val="0"/>
        </w:rPr>
        <w:t>Điều 5 Nghị định số 193/2025/NĐ-CP</w:t>
      </w:r>
      <w:bookmarkEnd w:id="7"/>
      <w:r>
        <w:rPr>
          <w:color w:val="000000"/>
          <w:rtl w:val="0"/>
        </w:rPr>
        <w:t xml:space="preserve"> theo hướng quy định đầy đủ cơ chế khai, nộp, quyết toán, xử lý chênh lệch, xử lý vi phạm nhằm bảo đảm cơ sở pháp lý thống nhất trong quá trình tổ chức thực hiện.</w:t>
      </w:r>
    </w:p>
    <w:p>
      <w:pPr>
        <w:bidi w:val="0"/>
        <w:spacing w:before="120" w:beforeAutospacing="0" w:after="280" w:afterAutospacing="1"/>
      </w:pPr>
      <w:bookmarkStart w:id="8" w:name="dieu_2"/>
      <w:r>
        <w:rPr>
          <w:b/>
          <w:bCs/>
          <w:color w:val="000000"/>
          <w:rtl w:val="0"/>
        </w:rPr>
        <w:t>2. Về chính sách thuế đối với khoản đóng góp kinh phí theo quy định tại Nghị quyết số 37/2025/NQ-HĐND của Hội đồng nhân dân tỉnh Lào Cai.</w:t>
      </w:r>
      <w:bookmarkEnd w:id="8"/>
    </w:p>
    <w:p>
      <w:pPr>
        <w:bidi w:val="0"/>
        <w:spacing w:before="120" w:beforeAutospacing="0" w:after="280" w:afterAutospacing="1"/>
      </w:pPr>
      <w:r>
        <w:rPr>
          <w:color w:val="000000"/>
          <w:rtl w:val="0"/>
        </w:rPr>
        <w:t xml:space="preserve">Căn cứ quy định về khoản chi phí được trừ và không được trừ tại </w:t>
      </w:r>
      <w:bookmarkStart w:id="9" w:name="dc_6"/>
      <w:r>
        <w:rPr>
          <w:color w:val="000000"/>
          <w:rtl w:val="0"/>
        </w:rPr>
        <w:t>Điều 9 và Điều 10 Nghị định số 320/2025/NĐ-CP</w:t>
      </w:r>
      <w:bookmarkEnd w:id="9"/>
      <w:r>
        <w:rPr>
          <w:color w:val="000000"/>
          <w:rtl w:val="0"/>
        </w:rPr>
        <w:t xml:space="preserve"> ngày 15/12/2025 của Chính phủ quy định chi tiết một số điều và biện pháp để tổ chức, hướng dẫn thi hành Luật thuế thu nhập doanh nghiệp) trường hợp người nộp thuế đã nộp khoản thu đóng góp vào ngân sách nhà nước theo quy định tại Nghị định số 193/2025/NĐ-CP của Chính phủ quy định chi tiết một số điều và biện pháp thi hành Luật Địa chất và khoáng sản và Nghị quyết số 37/2025/NQ-HĐND của Hội đồng Nhân dân tỉnh Lào Cai để đầu tư nâng cấp, duy tu, xây dựng các công trình hạ tầng kỹ thuật, công trình bảo vệ môi trường và đáp ứng điều kiện quy định tại </w:t>
      </w:r>
      <w:bookmarkStart w:id="10" w:name="dc_7"/>
      <w:r>
        <w:rPr>
          <w:color w:val="000000"/>
          <w:rtl w:val="0"/>
        </w:rPr>
        <w:t>điểm m khoản 2 Điều 9 Nghị định số 320/2025/NĐ-CP</w:t>
      </w:r>
      <w:bookmarkEnd w:id="10"/>
      <w:r>
        <w:rPr>
          <w:color w:val="000000"/>
          <w:rtl w:val="0"/>
        </w:rPr>
        <w:t xml:space="preserve"> nêu trên thì số tiền đóng góp này được hạch toán vào chi phí được trừ khi tính thuế thu nhập doanh nghiệp theo quy định của pháp luật thuế thu nhập doanh nghiệp.</w:t>
      </w:r>
    </w:p>
    <w:p>
      <w:pPr>
        <w:bidi w:val="0"/>
        <w:spacing w:before="120" w:beforeAutospacing="0" w:after="280" w:afterAutospacing="1"/>
      </w:pPr>
      <w:r>
        <w:rPr>
          <w:color w:val="000000"/>
          <w:rtl w:val="0"/>
        </w:rPr>
        <w:t>Cục Thuế trả lời để Thuế tỉnh Lào Cai biết và hướng dẫn đơn vị thực hiện phù hợp quy định pháp luật./.</w:t>
      </w:r>
    </w:p>
    <w:p>
      <w:pPr>
        <w:bidi w:val="0"/>
        <w:spacing w:before="120" w:beforeAutospacing="0" w:after="280" w:afterAutospacing="1"/>
      </w:pPr>
      <w:r>
        <w:rPr>
          <w:color w:val="000000"/>
          <w:rtl w:val="0"/>
        </w:rPr>
        <w:t> </w:t>
      </w:r>
    </w:p>
    <w:tbl>
      <w:tblPr>
        <w:tblW w:w="5000" w:type="pct"/>
        <w:jc w:val="left"/>
        <w:tblCellMar>
          <w:top w:w="0" w:type="dxa"/>
          <w:left w:w="0" w:type="dxa"/>
          <w:bottom w:w="0" w:type="dxa"/>
          <w:right w:w="0" w:type="dxa"/>
        </w:tblCellMar>
      </w:tblPr>
      <w:tblGrid>
        <w:gridCol w:w="3617"/>
        <w:gridCol w:w="5023"/>
      </w:tblGrid>
      <w:tr>
        <w:tblPrEx>
          <w:tblW w:w="5000" w:type="pct"/>
          <w:jc w:val="left"/>
          <w:tblCellMar>
            <w:top w:w="0" w:type="dxa"/>
            <w:left w:w="0" w:type="dxa"/>
            <w:bottom w:w="0" w:type="dxa"/>
            <w:right w:w="0" w:type="dxa"/>
          </w:tblCellMar>
        </w:tblPrEx>
        <w:trPr>
          <w:jc w:val="left"/>
        </w:trPr>
        <w:tc>
          <w:tcPr>
            <w:tcW w:w="2093" w:type="pct"/>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Như trên;</w:t>
            </w:r>
            <w:r>
              <w:rPr>
                <w:sz w:val="16"/>
                <w:rtl w:val="0"/>
              </w:rPr>
              <w:br/>
            </w:r>
            <w:r>
              <w:rPr>
                <w:sz w:val="16"/>
                <w:rtl w:val="0"/>
              </w:rPr>
              <w:t>- PCTr Đặng Ngọc Minh (để b/c);</w:t>
            </w:r>
            <w:r>
              <w:rPr>
                <w:sz w:val="16"/>
                <w:rtl w:val="0"/>
              </w:rPr>
              <w:br/>
            </w:r>
            <w:r>
              <w:rPr>
                <w:sz w:val="16"/>
                <w:rtl w:val="0"/>
              </w:rPr>
              <w:t>- Các đơn vị: CST, PC, NSNN, KBNN;</w:t>
            </w:r>
            <w:r>
              <w:rPr>
                <w:sz w:val="16"/>
                <w:rtl w:val="0"/>
              </w:rPr>
              <w:br/>
            </w:r>
            <w:r>
              <w:rPr>
                <w:sz w:val="16"/>
                <w:rtl w:val="0"/>
              </w:rPr>
              <w:t>- Các Ban: NVT, PC (CT);</w:t>
            </w:r>
            <w:r>
              <w:rPr>
                <w:sz w:val="16"/>
                <w:rtl w:val="0"/>
              </w:rPr>
              <w:br/>
            </w:r>
            <w:r>
              <w:rPr>
                <w:sz w:val="16"/>
                <w:rtl w:val="0"/>
              </w:rPr>
              <w:t>- Website CT;</w:t>
            </w:r>
            <w:r>
              <w:rPr>
                <w:sz w:val="16"/>
                <w:rtl w:val="0"/>
              </w:rPr>
              <w:br/>
            </w:r>
            <w:r>
              <w:rPr>
                <w:sz w:val="16"/>
                <w:rtl w:val="0"/>
              </w:rPr>
              <w:t>- Lưu: VT, CS.</w:t>
            </w:r>
          </w:p>
        </w:tc>
        <w:tc>
          <w:tcPr>
            <w:tcW w:w="2907"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TL. CỤC TRƯỞNG</w:t>
            </w:r>
            <w:r>
              <w:rPr>
                <w:b/>
                <w:bCs/>
                <w:rtl w:val="0"/>
              </w:rPr>
              <w:br/>
            </w:r>
            <w:r>
              <w:rPr>
                <w:b/>
                <w:bCs/>
                <w:rtl w:val="0"/>
              </w:rPr>
              <w:t>TRƯỞNG BAN BAN CHÍNH SÁCH, THUẾ QUỐC TẾ</w:t>
            </w:r>
            <w:r>
              <w:rPr>
                <w:b/>
                <w:bCs/>
                <w:rtl w:val="0"/>
              </w:rPr>
              <w:br/>
            </w:r>
            <w:r>
              <w:rPr>
                <w:b/>
                <w:bCs/>
                <w:rtl w:val="0"/>
              </w:rPr>
              <w:br/>
            </w:r>
            <w:r>
              <w:rPr>
                <w:b/>
                <w:bCs/>
                <w:rtl w:val="0"/>
              </w:rPr>
              <w:br/>
            </w:r>
            <w:r>
              <w:rPr>
                <w:b/>
                <w:bCs/>
                <w:rtl w:val="0"/>
              </w:rPr>
              <w:br/>
            </w:r>
            <w:r>
              <w:rPr>
                <w:b/>
                <w:bCs/>
                <w:rtl w:val="0"/>
              </w:rPr>
              <w:br/>
            </w:r>
            <w:r>
              <w:rPr>
                <w:b/>
                <w:bCs/>
                <w:rtl w:val="0"/>
              </w:rPr>
              <w:t>Nguyễn Thị Thanh Hằng</w:t>
            </w:r>
          </w:p>
        </w:tc>
      </w:tr>
    </w:tbl>
    <w:p>
      <w:pPr>
        <w:bidi w:val="0"/>
        <w:spacing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