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BỘ TÀI CHÍNH</w:t>
            </w:r>
            <w:r>
              <w:rPr>
                <w:rtl w:val="0"/>
              </w:rPr>
              <w:br/>
            </w:r>
            <w:r>
              <w:rPr>
                <w:b/>
                <w:bCs/>
                <w:rtl w:val="0"/>
              </w:rPr>
              <w:t>CỤC THUẾ</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rPr>
                <w:rtl w:val="0"/>
              </w:rPr>
            </w:pPr>
            <w:r>
              <w:rPr>
                <w:rtl w:val="0"/>
              </w:rPr>
              <w:t xml:space="preserve">Số: </w:t>
            </w:r>
            <w:r>
              <w:rPr>
                <w:rtl w:val="0"/>
              </w:rPr>
              <w:t>7479/CT-QLNT</w:t>
            </w:r>
            <w:r>
              <w:rPr>
                <w:rtl w:val="0"/>
              </w:rPr>
              <w:br/>
            </w:r>
            <w:r>
              <w:rPr>
                <w:i/>
                <w:iCs/>
                <w:sz w:val="16"/>
                <w:rtl w:val="0"/>
              </w:rPr>
              <w:t>V/v chính sách thuế và hóa đơn</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08 tháng 10 năm 2026</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Kính gửi:</w:t>
      </w:r>
      <w:r>
        <w:rPr>
          <w:rtl w:val="0"/>
        </w:rPr>
        <w:t xml:space="preserve"> Thuế tỉnh Quảng Ngãi.</w:t>
      </w:r>
    </w:p>
    <w:p>
      <w:pPr>
        <w:bidi w:val="0"/>
        <w:spacing w:before="120" w:beforeAutospacing="0" w:after="280" w:afterAutospacing="1"/>
      </w:pPr>
      <w:r>
        <w:rPr>
          <w:rtl w:val="0"/>
        </w:rPr>
        <w:t>Cục Thuế nhận được công văn số 7370/QNG-QLDN1 ngày 07/9/2026 của Thuế tỉnh Quảng Ngãi về chính sách thuế và hóa đơn. Về vấn đề này, Cục Thuế có ý kiến như sau:</w:t>
      </w:r>
    </w:p>
    <w:p>
      <w:pPr>
        <w:bidi w:val="0"/>
        <w:spacing w:before="120" w:beforeAutospacing="0" w:after="280" w:afterAutospacing="1"/>
      </w:pPr>
      <w:r>
        <w:rPr>
          <w:rtl w:val="0"/>
        </w:rPr>
        <w:t xml:space="preserve">Căn cứ </w:t>
      </w:r>
      <w:bookmarkStart w:id="0" w:name="dc_1"/>
      <w:r>
        <w:rPr>
          <w:rtl w:val="0"/>
        </w:rPr>
        <w:t>điểm k khoản 2 Điều 22 Nghị định số 252/2026/NĐ-CP</w:t>
      </w:r>
      <w:bookmarkEnd w:id="0"/>
      <w:r>
        <w:rPr>
          <w:rtl w:val="0"/>
        </w:rPr>
        <w:t xml:space="preserve"> ngày 30/6/2026 của Chính phủ quy định các trường hợp khai thuế thay, nộp thay thuế; Căn cứ </w:t>
      </w:r>
      <w:bookmarkStart w:id="1" w:name="dc_2"/>
      <w:r>
        <w:rPr>
          <w:rtl w:val="0"/>
        </w:rPr>
        <w:t>điểm a.1, điểm b.2 khoản 2 Điều 6 Nghị định số 254/2026/NĐ-CP</w:t>
      </w:r>
      <w:bookmarkEnd w:id="1"/>
      <w:r>
        <w:rPr>
          <w:rtl w:val="0"/>
        </w:rPr>
        <w:t xml:space="preserve"> ngày 30/6/2026 của Chính phủ quy định đối tượng cơ quan thuế cấp hóa đơn điện tử có mã của cơ quan thuế theo từng lần phát sinh.</w:t>
      </w:r>
    </w:p>
    <w:p>
      <w:pPr>
        <w:bidi w:val="0"/>
        <w:spacing w:before="120" w:beforeAutospacing="0" w:after="280" w:afterAutospacing="1"/>
      </w:pPr>
      <w:r>
        <w:rPr>
          <w:rtl w:val="0"/>
        </w:rPr>
        <w:t>Căn cứ các quy định trên, về nguyên tắc cơ quan thi hành án bán tài sản bảo đảm thi hành án theo quy định của pháp luật về thi hành án dân sự có trách nhiệm khai thuế thay, nộp thay thuế cho tổ chức, cá nhân có tài sản. Số thuế giá trị gia tăng phải khấu trừ, nộp thay được xác định theo phương pháp tính thuế phù hợp với loại hóa đơn điện tử từng lần phát sinh đề nghị cấp theo quy định của pháp luật về hóa đơn điện tử.</w:t>
      </w:r>
    </w:p>
    <w:p>
      <w:pPr>
        <w:bidi w:val="0"/>
        <w:spacing w:before="120" w:beforeAutospacing="0" w:after="280" w:afterAutospacing="1"/>
      </w:pPr>
      <w:r>
        <w:rPr>
          <w:rtl w:val="0"/>
        </w:rPr>
        <w:t>Trường hợp cơ quan thi hành án là tổ chức không kinh doanh nhưng có phát sinh giao dịch bán tài sản thuộc đối tượng chịu thuế theo quy định của pháp luật thuế giá trị gia tăng, thuế thu nhập doanh nghiệp và các loại thuế khác (nếu có) thì thuộc đối tượng được cấp hóa đơn bán hàng để giao cho người mua.</w:t>
      </w:r>
    </w:p>
    <w:p>
      <w:pPr>
        <w:bidi w:val="0"/>
        <w:spacing w:before="120" w:beforeAutospacing="0" w:after="280" w:afterAutospacing="1"/>
      </w:pPr>
      <w:r>
        <w:rPr>
          <w:rtl w:val="0"/>
        </w:rPr>
        <w:t xml:space="preserve">Trường hợp cơ quan thi hành án không thuộc đối tượng nộp thuế giá trị gia tăng theo phương pháp khấu trừ có bán đấu giá tài sản (trừ trường hợp bán tài sản công nêu tại </w:t>
      </w:r>
      <w:bookmarkStart w:id="2" w:name="dc_3"/>
      <w:r>
        <w:rPr>
          <w:rtl w:val="0"/>
        </w:rPr>
        <w:t>khoản 4 Điều 8 Nghị định số 254/2026/NĐ-CP</w:t>
      </w:r>
      <w:bookmarkEnd w:id="2"/>
      <w:r>
        <w:rPr>
          <w:rtl w:val="0"/>
        </w:rPr>
        <w:t>), trường hợp giá trúng đấu giá là giá bán đã có thuế giá trị gia tăng được công bố rõ trong hồ sơ bán đấu giá do cơ quan có thẩm quyền phê duyệt thì thuộc đối tượng được cấp hóa đơn giá trị gia tăng để giao cho người mua.</w:t>
      </w:r>
    </w:p>
    <w:p>
      <w:pPr>
        <w:bidi w:val="0"/>
        <w:spacing w:before="120" w:beforeAutospacing="0" w:after="280" w:afterAutospacing="1"/>
      </w:pPr>
      <w:r>
        <w:rPr>
          <w:rtl w:val="0"/>
        </w:rPr>
        <w:t>Đề nghị Thuế tỉnh Quảng Ngãi căn cứ các quy định trên và hồ sơ thực tế để hướng dẫn thực hiện theo quy định.</w:t>
      </w:r>
    </w:p>
    <w:p>
      <w:pPr>
        <w:bidi w:val="0"/>
        <w:spacing w:before="120" w:beforeAutospacing="0" w:after="280" w:afterAutospacing="1"/>
      </w:pPr>
      <w:r>
        <w:rPr>
          <w:rtl w:val="0"/>
        </w:rPr>
        <w:t>Cục Thuế có ý kiến để Thuế tỉnh Quảng Ngãi được biết./.</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07"/>
        <w:gridCol w:w="4333"/>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rtl w:val="0"/>
              </w:rPr>
              <w:t>- Như trên;</w:t>
            </w:r>
            <w:r>
              <w:rPr>
                <w:rtl w:val="0"/>
              </w:rPr>
              <w:br/>
            </w:r>
            <w:r>
              <w:rPr>
                <w:rtl w:val="0"/>
              </w:rPr>
              <w:t>- Phó CTr Đặng Ngọc Minh (để b/c);</w:t>
            </w:r>
            <w:r>
              <w:rPr>
                <w:rtl w:val="0"/>
              </w:rPr>
              <w:br/>
            </w:r>
            <w:r>
              <w:rPr>
                <w:rtl w:val="0"/>
              </w:rPr>
              <w:t>- Ban PC, NVT;</w:t>
            </w:r>
            <w:r>
              <w:rPr>
                <w:rtl w:val="0"/>
              </w:rPr>
              <w:br/>
            </w:r>
            <w:r>
              <w:rPr>
                <w:rtl w:val="0"/>
              </w:rPr>
              <w:t>- Website CT;</w:t>
            </w:r>
            <w:r>
              <w:rPr>
                <w:rtl w:val="0"/>
              </w:rPr>
              <w:br/>
            </w:r>
            <w:r>
              <w:rPr>
                <w:rtl w:val="0"/>
              </w:rPr>
              <w:t>- Lưu: VT, QLNT.</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TL. CỤC TRƯỞNG</w:t>
            </w:r>
            <w:r>
              <w:rPr>
                <w:b/>
                <w:bCs/>
                <w:rtl w:val="0"/>
              </w:rPr>
              <w:br/>
            </w:r>
            <w:r>
              <w:rPr>
                <w:b/>
                <w:bCs/>
                <w:rtl w:val="0"/>
              </w:rPr>
              <w:t xml:space="preserve">KT. TRƯỞNG BAN QUẢN LÝ, </w:t>
            </w:r>
            <w:r>
              <w:rPr>
                <w:b/>
                <w:bCs/>
                <w:rtl w:val="0"/>
              </w:rPr>
              <w:br/>
            </w:r>
            <w:r>
              <w:rPr>
                <w:b/>
                <w:bCs/>
                <w:rtl w:val="0"/>
              </w:rPr>
              <w:t>PHÁT TRIỂN NGUỒN THU</w:t>
            </w:r>
            <w:r>
              <w:rPr>
                <w:b/>
                <w:bCs/>
                <w:rtl w:val="0"/>
              </w:rPr>
              <w:br/>
            </w:r>
            <w:r>
              <w:rPr>
                <w:b/>
                <w:bCs/>
                <w:rtl w:val="0"/>
              </w:rPr>
              <w:t>PHÓ TRƯỞNG BAN</w:t>
            </w:r>
            <w:r>
              <w:rPr>
                <w:b/>
                <w:bCs/>
                <w:rtl w:val="0"/>
              </w:rPr>
              <w:br/>
            </w:r>
            <w:r>
              <w:rPr>
                <w:b/>
                <w:bCs/>
                <w:rtl w:val="0"/>
              </w:rPr>
              <w:br/>
            </w:r>
            <w:r>
              <w:rPr>
                <w:b/>
                <w:bCs/>
                <w:rtl w:val="0"/>
              </w:rPr>
              <w:br/>
            </w:r>
            <w:r>
              <w:rPr>
                <w:b/>
                <w:bCs/>
                <w:rtl w:val="0"/>
              </w:rPr>
              <w:br/>
            </w:r>
            <w:r>
              <w:rPr>
                <w:b/>
                <w:bCs/>
                <w:rtl w:val="0"/>
              </w:rPr>
              <w:br/>
            </w:r>
            <w:r>
              <w:rPr>
                <w:b/>
                <w:bCs/>
                <w:rtl w:val="0"/>
              </w:rPr>
              <w:t>Phạm Thị Minh Hiền</w:t>
            </w:r>
          </w:p>
        </w:tc>
      </w:tr>
    </w:tbl>
    <w:p>
      <w:pPr>
        <w:bidi w:val="0"/>
        <w:spacing w:before="120" w:beforeAutospacing="0" w:after="280" w:afterAutospacing="1"/>
      </w:pPr>
      <w:r>
        <w:rPr>
          <w:b/>
          <w:bCs/>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