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sz w:val="20"/>
                <w:rtl w:val="0"/>
                <w:lang w:val="vi-VN" w:eastAsia="vi-VN"/>
              </w:rPr>
              <w:t>BỘ TÀI CHÍNH</w:t>
            </w:r>
            <w:r>
              <w:rPr>
                <w:sz w:val="20"/>
                <w:rtl w:val="0"/>
              </w:rPr>
              <w:br/>
            </w:r>
            <w:r>
              <w:rPr>
                <w:b/>
                <w:bCs/>
                <w:sz w:val="20"/>
                <w:rtl w:val="0"/>
                <w:lang w:val="vi-VN" w:eastAsia="vi-VN"/>
              </w:rPr>
              <w:t>CỤC THUẾ</w:t>
            </w:r>
            <w:r>
              <w:rPr>
                <w:b/>
                <w:bCs/>
                <w:sz w:val="20"/>
                <w:rtl w:val="0"/>
                <w:lang w:val="vi-VN" w:eastAsia="vi-VN"/>
              </w:rPr>
              <w:br/>
            </w:r>
            <w:r>
              <w:rPr>
                <w:b/>
                <w:bCs/>
                <w:sz w:val="20"/>
                <w:rtl w:val="0"/>
                <w:lang w:val="vi-VN" w:eastAsia="vi-VN"/>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sz w:val="20"/>
                <w:rtl w:val="0"/>
                <w:lang w:val="vi-VN" w:eastAsia="vi-VN"/>
              </w:rPr>
              <w:t>CỘNG HÒA XÃ HỘI CHỦ NGHĨA VIỆT NAM</w:t>
            </w:r>
            <w:r>
              <w:rPr>
                <w:b/>
                <w:bCs/>
                <w:sz w:val="20"/>
                <w:rtl w:val="0"/>
                <w:lang w:val="vi-VN" w:eastAsia="vi-VN"/>
              </w:rPr>
              <w:br/>
            </w:r>
            <w:r>
              <w:rPr>
                <w:b/>
                <w:bCs/>
                <w:sz w:val="20"/>
                <w:rtl w:val="0"/>
                <w:lang w:val="vi-VN" w:eastAsia="vi-VN"/>
              </w:rPr>
              <w:t>Độc lập - Tự do - Hạnh phúc</w:t>
            </w:r>
            <w:r>
              <w:rPr>
                <w:b/>
                <w:bCs/>
                <w:sz w:val="20"/>
                <w:rtl w:val="0"/>
                <w:lang w:val="vi-VN" w:eastAsia="vi-VN"/>
              </w:rPr>
              <w:br/>
            </w:r>
            <w:r>
              <w:rPr>
                <w:b/>
                <w:bCs/>
                <w:sz w:val="20"/>
                <w:rtl w:val="0"/>
                <w:lang w:val="vi-VN" w:eastAsia="vi-VN"/>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r>
              <w:rPr>
                <w:sz w:val="20"/>
                <w:rtl w:val="0"/>
                <w:lang w:val="vi-VN" w:eastAsia="vi-VN"/>
              </w:rPr>
              <w:t xml:space="preserve">Số: </w:t>
            </w:r>
            <w:r>
              <w:rPr>
                <w:sz w:val="20"/>
                <w:rtl w:val="0"/>
                <w:lang w:val="vi-VN" w:eastAsia="vi-VN"/>
              </w:rPr>
              <w:t>7401/CT-QLNT</w:t>
            </w:r>
            <w:r>
              <w:rPr>
                <w:sz w:val="20"/>
                <w:rtl w:val="0"/>
                <w:lang w:val="vi-VN" w:eastAsia="vi-VN"/>
              </w:rPr>
              <w:br/>
            </w:r>
            <w:r>
              <w:rPr>
                <w:i/>
                <w:iCs/>
                <w:sz w:val="16"/>
                <w:rtl w:val="0"/>
                <w:lang w:val="vi-VN" w:eastAsia="vi-VN"/>
              </w:rPr>
              <w:t>V/v thời điểm kết thúc giảm trừ gia cảnh.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sz w:val="20"/>
                <w:rtl w:val="0"/>
                <w:lang w:val="vi-VN" w:eastAsia="vi-VN"/>
              </w:rPr>
              <w:t>Hà Nội, ngày 06 tháng 10 năm 2026</w:t>
            </w:r>
          </w:p>
        </w:tc>
      </w:tr>
    </w:tbl>
    <w:p>
      <w:pPr>
        <w:bidi w:val="0"/>
        <w:spacing w:before="120" w:beforeAutospacing="0" w:after="280" w:afterAutospacing="1"/>
      </w:pPr>
      <w:r>
        <w:rPr>
          <w:i/>
          <w:iCs/>
          <w:sz w:val="20"/>
          <w:rtl w:val="0"/>
        </w:rPr>
        <w:t> </w:t>
      </w:r>
    </w:p>
    <w:p>
      <w:pPr>
        <w:bidi w:val="0"/>
        <w:spacing w:before="120" w:beforeAutospacing="0" w:after="280" w:afterAutospacing="1"/>
        <w:jc w:val="center"/>
      </w:pPr>
      <w:r>
        <w:rPr>
          <w:b/>
          <w:bCs/>
          <w:sz w:val="20"/>
          <w:rtl w:val="0"/>
          <w:lang w:val="vi-VN" w:eastAsia="vi-VN"/>
        </w:rPr>
        <w:t>Kính gửi:</w:t>
      </w:r>
      <w:r>
        <w:rPr>
          <w:sz w:val="20"/>
          <w:rtl w:val="0"/>
          <w:lang w:val="vi-VN" w:eastAsia="vi-VN"/>
        </w:rPr>
        <w:t xml:space="preserve"> Ông Ngô Xuân Thế.</w:t>
      </w:r>
      <w:r>
        <w:rPr>
          <w:sz w:val="20"/>
          <w:rtl w:val="0"/>
        </w:rPr>
        <w:br/>
      </w:r>
      <w:r>
        <w:rPr>
          <w:i/>
          <w:iCs/>
          <w:sz w:val="20"/>
          <w:rtl w:val="0"/>
          <w:lang w:val="vi-VN" w:eastAsia="vi-VN"/>
        </w:rPr>
        <w:t>(Đ/c: Số nhà 21 đường Nguyễn Chí Thanh, Tổ 4).</w:t>
      </w:r>
    </w:p>
    <w:p>
      <w:pPr>
        <w:bidi w:val="0"/>
        <w:spacing w:before="120" w:beforeAutospacing="0" w:after="280" w:afterAutospacing="1"/>
      </w:pPr>
      <w:r>
        <w:rPr>
          <w:sz w:val="20"/>
          <w:rtl w:val="0"/>
          <w:lang w:val="vi-VN" w:eastAsia="vi-VN"/>
        </w:rPr>
        <w:t>Cục Thuế nhận được Đơn phản ánh kiến nghị mã số PAKN.20260907.0147 của ông Ngô Xuân Thế nêu vướng mắc về thời điểm tính kết thúc giảm trừ gia cảnh. Về vấn đề này, Cục Thuế có ý kiến như sau:</w:t>
      </w:r>
    </w:p>
    <w:p>
      <w:pPr>
        <w:bidi w:val="0"/>
        <w:spacing w:before="120" w:beforeAutospacing="0" w:after="280" w:afterAutospacing="1"/>
      </w:pPr>
      <w:r>
        <w:rPr>
          <w:sz w:val="20"/>
          <w:rtl w:val="0"/>
          <w:lang w:val="vi-VN" w:eastAsia="vi-VN"/>
        </w:rPr>
        <w:t>- Tại điểm b khoản 4 Điều 10 Luật Thuế TNCN quy định về giảm trừ gia cảnh:</w:t>
      </w:r>
    </w:p>
    <w:p>
      <w:pPr>
        <w:bidi w:val="0"/>
        <w:spacing w:before="120" w:beforeAutospacing="0" w:after="280" w:afterAutospacing="1"/>
      </w:pPr>
      <w:r>
        <w:rPr>
          <w:i/>
          <w:iCs/>
          <w:sz w:val="20"/>
          <w:rtl w:val="0"/>
          <w:lang w:val="vi-VN" w:eastAsia="vi-VN"/>
        </w:rPr>
        <w:t>4. Người phụ thuộc là người mà người nộp thuế có trách nhiệm nuôi dưỡng, bao gồm:</w:t>
      </w:r>
    </w:p>
    <w:p>
      <w:pPr>
        <w:bidi w:val="0"/>
        <w:spacing w:before="120" w:beforeAutospacing="0" w:after="280" w:afterAutospacing="1"/>
      </w:pPr>
      <w:r>
        <w:rPr>
          <w:i/>
          <w:iCs/>
          <w:sz w:val="20"/>
          <w:rtl w:val="0"/>
          <w:lang w:val="vi-VN" w:eastAsia="vi-VN"/>
        </w:rPr>
        <w:t>…b) Các cá nhân không có thu nhập hoặc có thu nhập không vượt quá mức do Bộ trưởng Bộ Tài chính 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p>
    <w:p>
      <w:pPr>
        <w:bidi w:val="0"/>
        <w:spacing w:before="120" w:beforeAutospacing="0" w:after="280" w:afterAutospacing="1"/>
      </w:pPr>
      <w:r>
        <w:rPr>
          <w:sz w:val="20"/>
          <w:rtl w:val="0"/>
          <w:lang w:val="vi-VN" w:eastAsia="vi-VN"/>
        </w:rPr>
        <w:t>- Tại điểm c khoản 2 Điều 47 Nghị định số 253/2026/NĐ-CP ngày 30/6/2026 quy định:</w:t>
      </w:r>
    </w:p>
    <w:p>
      <w:pPr>
        <w:bidi w:val="0"/>
        <w:spacing w:before="120" w:beforeAutospacing="0" w:after="280" w:afterAutospacing="1"/>
      </w:pPr>
      <w:r>
        <w:rPr>
          <w:b/>
          <w:bCs/>
          <w:i/>
          <w:iCs/>
          <w:sz w:val="20"/>
          <w:rtl w:val="0"/>
          <w:lang w:val="vi-VN" w:eastAsia="vi-VN"/>
        </w:rPr>
        <w:t>Điều 47. Giảm trừ gia cảnh</w:t>
      </w:r>
    </w:p>
    <w:p>
      <w:pPr>
        <w:bidi w:val="0"/>
        <w:spacing w:before="120" w:beforeAutospacing="0" w:after="280" w:afterAutospacing="1"/>
      </w:pPr>
      <w:r>
        <w:rPr>
          <w:i/>
          <w:iCs/>
          <w:sz w:val="20"/>
          <w:rtl w:val="0"/>
          <w:lang w:val="vi-VN" w:eastAsia="vi-VN"/>
        </w:rPr>
        <w:t>2. Đối tượng và căn cứ xác định người phụ thuộc mà người nộp thuế có trách nhiệm nuôi dưỡng như sau:</w:t>
      </w:r>
    </w:p>
    <w:p>
      <w:pPr>
        <w:bidi w:val="0"/>
        <w:spacing w:before="120" w:beforeAutospacing="0" w:after="280" w:afterAutospacing="1"/>
      </w:pPr>
      <w:r>
        <w:rPr>
          <w:i/>
          <w:iCs/>
          <w:sz w:val="20"/>
          <w:rtl w:val="0"/>
          <w:lang w:val="vi-VN" w:eastAsia="vi-VN"/>
        </w:rPr>
        <w:t>…c) Con (bao gồm con đẻ, con nuôi theo quy định của pháp luật, con riêng của vợ, con riêng của chồng) đang học đại học, cao đẳng, trung học chuyên nghiệp hoặc học nghề, kể cả con từ 18 tuổi trở lên đang học bậc học phổ thông (tính cả trong thời gian chờ kết quả thi từ tháng 6 đến tháng 9 năm lớp 12), không có thu nhập hoặc có thu nhập bình quân tháng trong năm từ tất cả các nguồn thu nhập không vượt quá mức thu nhập quy định do Bộ trưởng Bộ Tài chính quy định;…</w:t>
      </w:r>
    </w:p>
    <w:p>
      <w:pPr>
        <w:bidi w:val="0"/>
        <w:spacing w:before="120" w:beforeAutospacing="0" w:after="280" w:afterAutospacing="1"/>
      </w:pPr>
      <w:r>
        <w:rPr>
          <w:i/>
          <w:iCs/>
          <w:sz w:val="20"/>
          <w:rtl w:val="0"/>
        </w:rPr>
        <w:t>…</w:t>
      </w:r>
    </w:p>
    <w:p>
      <w:pPr>
        <w:bidi w:val="0"/>
        <w:spacing w:before="120" w:beforeAutospacing="0" w:after="280" w:afterAutospacing="1"/>
      </w:pPr>
      <w:r>
        <w:rPr>
          <w:b/>
          <w:bCs/>
          <w:i/>
          <w:iCs/>
          <w:sz w:val="20"/>
          <w:rtl w:val="0"/>
          <w:lang w:val="vi-VN" w:eastAsia="vi-VN"/>
        </w:rPr>
        <w:t>Điều 48. Nguyên tắc giảm trừ gia cảnh</w:t>
      </w:r>
    </w:p>
    <w:p>
      <w:pPr>
        <w:bidi w:val="0"/>
        <w:spacing w:before="120" w:beforeAutospacing="0" w:after="280" w:afterAutospacing="1"/>
      </w:pPr>
      <w:r>
        <w:rPr>
          <w:i/>
          <w:iCs/>
          <w:sz w:val="20"/>
          <w:rtl w:val="0"/>
          <w:lang w:val="vi-VN" w:eastAsia="vi-VN"/>
        </w:rPr>
        <w:t>…b) Khi người nộp thuế đăng ký giảm trừ cho người phụ thuộc sẽ được tạm tính giảm trừ gia cảnh trong năm kể từ khi đăng ký người phụ thuộc (được tính đủ theo tháng)…”</w:t>
      </w:r>
    </w:p>
    <w:p>
      <w:pPr>
        <w:bidi w:val="0"/>
        <w:spacing w:before="120" w:beforeAutospacing="0" w:after="280" w:afterAutospacing="1"/>
      </w:pPr>
      <w:r>
        <w:rPr>
          <w:sz w:val="20"/>
          <w:rtl w:val="0"/>
          <w:lang w:val="vi-VN" w:eastAsia="vi-VN"/>
        </w:rPr>
        <w:t>- Tại điểm đ khoản 1 Điều 4 Thông tư số 87/2026/TT-BTC ngày 30/6/2026 quy định hồ sơ xác định người phụ thuộc được giảm trừ gia cảnh:</w:t>
      </w:r>
    </w:p>
    <w:p>
      <w:pPr>
        <w:bidi w:val="0"/>
        <w:spacing w:before="120" w:beforeAutospacing="0" w:after="280" w:afterAutospacing="1"/>
      </w:pPr>
      <w:r>
        <w:rPr>
          <w:i/>
          <w:iCs/>
          <w:sz w:val="20"/>
          <w:rtl w:val="0"/>
          <w:lang w:val="vi-VN" w:eastAsia="vi-VN"/>
        </w:rPr>
        <w:t>“…đ) Đối với con đang học đại học, cao đẳng, trung học chuyên nghiệp hoặc học nghề, kể cả con từ đủ 18 tuổi trở lên đang học bậc học phổ thông (tính cả trong thời gian chờ kết quả thi từ tháng 6 đến tháng 9 năm lớp 12) thì ngoài các hồ sơ chứng minh mối quan hệ là con tương ứng với các trường hợp quy định tại các điểm a, b và c khoản 1 Điều này, hồ sơ xác định người phụ thuộc cần có thêm bản chụp thẻ sinh viên hoặc bản khai có xác nhận của nhà trường hoặc giấy tờ khác chứng minh đang học đại học, cao đẳng, trung học chuyên nghiệp, trung học phổ thông hoặc học nghề.”</w:t>
      </w:r>
    </w:p>
    <w:p>
      <w:pPr>
        <w:bidi w:val="0"/>
        <w:spacing w:before="120" w:beforeAutospacing="0" w:after="280" w:afterAutospacing="1"/>
      </w:pPr>
      <w:r>
        <w:rPr>
          <w:sz w:val="20"/>
          <w:rtl w:val="0"/>
          <w:lang w:val="vi-VN" w:eastAsia="vi-VN"/>
        </w:rPr>
        <w:t>Căn cứ các quy định nêu trên, việc xác định người phụ thuộc được giảm trừ gia cảnh đối với người nộp thuế có con đang học đại học, cao đẳng, trung học chuyên nghiệp hoặc học nghề thì cần có đủ các hồ sơ chứng minh mối quan hệ và chứng minh việc đang học đại học, cao đẳng, trung học chuyên nghiệp, trung học phổ thông hoặc học nghề.</w:t>
      </w:r>
    </w:p>
    <w:p>
      <w:pPr>
        <w:bidi w:val="0"/>
        <w:spacing w:before="120" w:beforeAutospacing="0" w:after="280" w:afterAutospacing="1"/>
      </w:pPr>
      <w:r>
        <w:rPr>
          <w:sz w:val="20"/>
          <w:rtl w:val="0"/>
          <w:lang w:val="vi-VN" w:eastAsia="vi-VN"/>
        </w:rPr>
        <w:t>Tại Mẫu Giấy ủy quyền đăng ký thuế số 41/UQ-ĐKT tại Phụ lục II kèm theo Thông tư số 90/2026/TT-BTC ngày 30/6/2026 của Bộ Tài chính có mục khai “Thời điểm kết thúc tính giảm trừ (tháng/năm)” đối với người phụ thuộc. Nguyên tắc tính giảm trừ gia cảnh cho người phụ thuộc là được tính đủ theo tháng. Do đó, trường hợp người nộp thuế có con tốt nghiệp đại học được cấp bằng ngày14/8/2026 thì thời điểm kết thúc tính giảm trừ khai theo Mẫu số 41/UQ-ĐKT là tháng 09/2026.</w:t>
      </w:r>
    </w:p>
    <w:p>
      <w:pPr>
        <w:bidi w:val="0"/>
        <w:spacing w:before="120" w:beforeAutospacing="0" w:after="280" w:afterAutospacing="1"/>
      </w:pPr>
      <w:r>
        <w:rPr>
          <w:sz w:val="20"/>
          <w:rtl w:val="0"/>
          <w:lang w:val="vi-VN" w:eastAsia="vi-VN"/>
        </w:rPr>
        <w:t>Cục Thuế thông báo để người nộp thuế biết./.</w:t>
      </w:r>
    </w:p>
    <w:p>
      <w:pPr>
        <w:bidi w:val="0"/>
        <w:spacing w:before="120" w:beforeAutospacing="0" w:after="280" w:afterAutospacing="1"/>
      </w:pPr>
      <w:r>
        <w:rPr>
          <w:sz w:val="20"/>
          <w:rtl w:val="0"/>
        </w:rPr>
        <w:t> </w:t>
      </w:r>
    </w:p>
    <w:tbl>
      <w:tblPr>
        <w:jc w:val="left"/>
        <w:tblCellMar>
          <w:top w:w="0" w:type="dxa"/>
          <w:left w:w="0" w:type="dxa"/>
          <w:bottom w:w="0" w:type="dxa"/>
          <w:right w:w="0" w:type="dxa"/>
        </w:tblCellMar>
      </w:tblPr>
      <w:tblGrid>
        <w:gridCol w:w="4303"/>
        <w:gridCol w:w="433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sz w:val="20"/>
                <w:rtl w:val="0"/>
                <w:lang w:val="vi-VN" w:eastAsia="vi-VN"/>
              </w:rPr>
              <w:br/>
            </w:r>
            <w:r>
              <w:rPr>
                <w:b/>
                <w:bCs/>
                <w:i/>
                <w:iCs/>
                <w:sz w:val="20"/>
                <w:rtl w:val="0"/>
                <w:lang w:val="vi-VN" w:eastAsia="vi-VN"/>
              </w:rPr>
              <w:t>Nơi nhận:</w:t>
            </w:r>
            <w:r>
              <w:rPr>
                <w:b/>
                <w:bCs/>
                <w:i/>
                <w:iCs/>
                <w:sz w:val="20"/>
                <w:rtl w:val="0"/>
                <w:lang w:val="vi-VN" w:eastAsia="vi-VN"/>
              </w:rPr>
              <w:br/>
            </w:r>
            <w:r>
              <w:rPr>
                <w:sz w:val="16"/>
                <w:rtl w:val="0"/>
                <w:lang w:val="vi-VN" w:eastAsia="vi-VN"/>
              </w:rPr>
              <w:t>- Như trên;</w:t>
            </w:r>
            <w:r>
              <w:rPr>
                <w:sz w:val="16"/>
                <w:rtl w:val="0"/>
                <w:lang w:val="vi-VN" w:eastAsia="vi-VN"/>
              </w:rPr>
              <w:br/>
            </w:r>
            <w:r>
              <w:rPr>
                <w:sz w:val="16"/>
                <w:rtl w:val="0"/>
                <w:lang w:val="vi-VN" w:eastAsia="vi-VN"/>
              </w:rPr>
              <w:t>- Phó CTrg Đặng Ngọc Minh (để b/c);</w:t>
            </w:r>
            <w:r>
              <w:rPr>
                <w:sz w:val="16"/>
                <w:rtl w:val="0"/>
                <w:lang w:val="vi-VN" w:eastAsia="vi-VN"/>
              </w:rPr>
              <w:br/>
            </w:r>
            <w:r>
              <w:rPr>
                <w:sz w:val="16"/>
                <w:rtl w:val="0"/>
                <w:lang w:val="vi-VN" w:eastAsia="vi-VN"/>
              </w:rPr>
              <w:t>- Ban PC;</w:t>
            </w:r>
            <w:r>
              <w:rPr>
                <w:sz w:val="16"/>
                <w:rtl w:val="0"/>
                <w:lang w:val="vi-VN" w:eastAsia="vi-VN"/>
              </w:rPr>
              <w:br/>
            </w:r>
            <w:r>
              <w:rPr>
                <w:sz w:val="16"/>
                <w:rtl w:val="0"/>
                <w:lang w:val="vi-VN" w:eastAsia="vi-VN"/>
              </w:rPr>
              <w:t>- Cổng dịch vụ công quốc gia;</w:t>
            </w:r>
            <w:r>
              <w:rPr>
                <w:sz w:val="16"/>
                <w:rtl w:val="0"/>
                <w:lang w:val="vi-VN" w:eastAsia="vi-VN"/>
              </w:rPr>
              <w:br/>
            </w:r>
            <w:r>
              <w:rPr>
                <w:sz w:val="16"/>
                <w:rtl w:val="0"/>
                <w:lang w:val="vi-VN" w:eastAsia="vi-VN"/>
              </w:rPr>
              <w:t>- Lưu: VT, QLNT.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sz w:val="20"/>
                <w:rtl w:val="0"/>
                <w:lang w:val="vi-VN" w:eastAsia="vi-VN"/>
              </w:rPr>
              <w:t>TL. CỤC TRƯỞNG</w:t>
            </w:r>
            <w:r>
              <w:rPr>
                <w:b/>
                <w:bCs/>
                <w:sz w:val="20"/>
                <w:rtl w:val="0"/>
                <w:lang w:val="vi-VN" w:eastAsia="vi-VN"/>
              </w:rPr>
              <w:br/>
            </w:r>
            <w:r>
              <w:rPr>
                <w:b/>
                <w:bCs/>
                <w:sz w:val="20"/>
                <w:rtl w:val="0"/>
                <w:lang w:val="vi-VN" w:eastAsia="vi-VN"/>
              </w:rPr>
              <w:t xml:space="preserve">KT. TRƯỞNG BAN QUẢN LÝ, </w:t>
            </w:r>
            <w:r>
              <w:rPr>
                <w:b/>
                <w:bCs/>
                <w:sz w:val="20"/>
                <w:rtl w:val="0"/>
              </w:rPr>
              <w:br/>
            </w:r>
            <w:r>
              <w:rPr>
                <w:b/>
                <w:bCs/>
                <w:sz w:val="20"/>
                <w:rtl w:val="0"/>
                <w:lang w:val="vi-VN" w:eastAsia="vi-VN"/>
              </w:rPr>
              <w:t>PHÁT TRIỂN NGUỒN THU</w:t>
            </w:r>
            <w:r>
              <w:rPr>
                <w:b/>
                <w:bCs/>
                <w:sz w:val="20"/>
                <w:rtl w:val="0"/>
                <w:lang w:val="vi-VN" w:eastAsia="vi-VN"/>
              </w:rPr>
              <w:br/>
            </w:r>
            <w:r>
              <w:rPr>
                <w:b/>
                <w:bCs/>
                <w:sz w:val="20"/>
                <w:rtl w:val="0"/>
                <w:lang w:val="vi-VN" w:eastAsia="vi-VN"/>
              </w:rPr>
              <w:t>PHÓ TRƯỞNG BAN</w:t>
            </w:r>
            <w:r>
              <w:rPr>
                <w:b/>
                <w:bCs/>
                <w:sz w:val="20"/>
                <w:rtl w:val="0"/>
                <w:lang w:val="vi-VN" w:eastAsia="vi-VN"/>
              </w:rPr>
              <w:br/>
            </w:r>
            <w:r>
              <w:rPr>
                <w:b/>
                <w:bCs/>
                <w:sz w:val="20"/>
                <w:rtl w:val="0"/>
              </w:rPr>
              <w:br/>
            </w:r>
            <w:r>
              <w:rPr>
                <w:b/>
                <w:bCs/>
                <w:sz w:val="20"/>
                <w:rtl w:val="0"/>
              </w:rPr>
              <w:br/>
            </w:r>
            <w:r>
              <w:rPr>
                <w:b/>
                <w:bCs/>
                <w:sz w:val="20"/>
                <w:rtl w:val="0"/>
              </w:rPr>
              <w:br/>
            </w:r>
            <w:r>
              <w:rPr>
                <w:b/>
                <w:bCs/>
                <w:sz w:val="20"/>
                <w:rtl w:val="0"/>
              </w:rPr>
              <w:br/>
            </w:r>
            <w:r>
              <w:rPr>
                <w:b/>
                <w:bCs/>
                <w:sz w:val="20"/>
                <w:rtl w:val="0"/>
                <w:lang w:val="vi-VN" w:eastAsia="vi-VN"/>
              </w:rPr>
              <w:t>Mạnh Thị Tuyết Mai</w:t>
            </w:r>
          </w:p>
        </w:tc>
      </w:tr>
    </w:tbl>
    <w:p>
      <w:pPr>
        <w:bidi w:val="0"/>
        <w:spacing w:before="120" w:beforeAutospacing="0" w:after="280" w:afterAutospacing="1"/>
      </w:pPr>
      <w:r>
        <w:rPr>
          <w:b/>
          <w:bCs/>
          <w:sz w:val="2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