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bookmarkStart w:id="0" w:name="bookmark0"/>
            <w:r>
              <w:rPr>
                <w:rtl w:val="0"/>
              </w:rPr>
              <w:t>BỘ TÀI CHÍNH</w:t>
            </w:r>
            <w:bookmarkEnd w:id="0"/>
            <w:r>
              <w:rPr>
                <w:b/>
                <w:bCs/>
                <w:rtl w:val="0"/>
              </w:rPr>
              <w:br/>
            </w:r>
            <w:r>
              <w:rPr>
                <w:b/>
                <w:bCs/>
                <w:rtl w:val="0"/>
              </w:rPr>
              <w:t>CỤC THUẾ</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Số: 4253/CT-CS</w:t>
            </w:r>
            <w:r>
              <w:rPr>
                <w:rtl w:val="0"/>
              </w:rPr>
              <w:br/>
            </w:r>
            <w:r>
              <w:rPr>
                <w:i/>
                <w:iCs/>
                <w:sz w:val="16"/>
                <w:rtl w:val="0"/>
              </w:rPr>
              <w:t>V/v thuế giá trị gia tăng</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24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r>
        <w:rPr>
          <w:b/>
          <w:bCs/>
          <w:rtl w:val="0"/>
        </w:rPr>
        <w:t>Kính gửi:</w:t>
      </w:r>
      <w:r>
        <w:rPr>
          <w:rtl w:val="0"/>
        </w:rPr>
        <w:t xml:space="preserve"> Công ty TNHH iTechwx.</w:t>
      </w:r>
      <w:r>
        <w:rPr>
          <w:rtl w:val="0"/>
        </w:rPr>
        <w:br/>
      </w:r>
      <w:r>
        <w:rPr>
          <w:i/>
          <w:iCs/>
          <w:rtl w:val="0"/>
        </w:rPr>
        <w:t>(Đ/c: Tầng 12 Opal Tower, số 92 Nguyễn Hữu Cảnh, phường Thạnh Mỹ Tây, TP Hồ Chí Minh)</w:t>
      </w:r>
    </w:p>
    <w:p>
      <w:pPr>
        <w:bidi w:val="0"/>
        <w:spacing w:before="120" w:beforeAutospacing="0" w:after="280" w:afterAutospacing="1"/>
      </w:pPr>
      <w:r>
        <w:rPr>
          <w:rtl w:val="0"/>
        </w:rPr>
        <w:t>Cục Thuế nhận được văn bản số 260508 ngày 06/5/2026 của Công ty TNHH iTechwx về thuế giá trị gia tăng (GTGT). Về vấn đề này, Cục Thuế có ý kiến như sau:</w:t>
      </w:r>
    </w:p>
    <w:p>
      <w:pPr>
        <w:bidi w:val="0"/>
        <w:spacing w:before="120" w:beforeAutospacing="0" w:after="280" w:afterAutospacing="1"/>
      </w:pPr>
      <w:r>
        <w:rPr>
          <w:rtl w:val="0"/>
        </w:rPr>
        <w:t>Căn cứ quy định tại khoản 1 Điều 9 Luật Thuế GTGT số 48/2024/QH15 ngày 26/11/2024 về mức thuế suất 0%;</w:t>
      </w:r>
    </w:p>
    <w:p>
      <w:pPr>
        <w:bidi w:val="0"/>
        <w:spacing w:before="120" w:beforeAutospacing="0" w:after="280" w:afterAutospacing="1"/>
      </w:pPr>
      <w:r>
        <w:rPr>
          <w:rtl w:val="0"/>
        </w:rPr>
        <w:t>Căn cứ quy định tại Điều 17 Nghị định số 181/2025/NĐ-CP ngày 01/7/2025 của Chính phủ về mức thuế suất 0%;</w:t>
      </w:r>
    </w:p>
    <w:p>
      <w:pPr>
        <w:bidi w:val="0"/>
        <w:spacing w:before="120" w:beforeAutospacing="0" w:after="280" w:afterAutospacing="1"/>
      </w:pPr>
      <w:r>
        <w:rPr>
          <w:rtl w:val="0"/>
        </w:rPr>
        <w:t>Căn cứ quy định tại Điều 18 Nghị định số 181/2025/NĐ-CP ngày 01/7/2025 của Chính phủ về điều kiện áp dụng thuế suất 0%;</w:t>
      </w:r>
    </w:p>
    <w:p>
      <w:pPr>
        <w:bidi w:val="0"/>
        <w:spacing w:before="120" w:beforeAutospacing="0" w:after="280" w:afterAutospacing="1"/>
      </w:pPr>
      <w:r>
        <w:rPr>
          <w:rtl w:val="0"/>
        </w:rPr>
        <w:t>Căn cứ hướng dẫn tại Điều 4 Thông tư số 69/2025/TT-BTC ngày 01/7/2025 của Bộ Tài chính về hồ sơ, thủ tục áp dụng thuế suất thuế GTGT 0% đối với hàng hóa, dịch vụ xuất khẩu được quy định tại khoản 1 Điều 9 Luật Thuế GTGT.</w:t>
      </w:r>
    </w:p>
    <w:p>
      <w:pPr>
        <w:bidi w:val="0"/>
        <w:spacing w:before="120" w:beforeAutospacing="0" w:after="280" w:afterAutospacing="1"/>
      </w:pPr>
      <w:r>
        <w:rPr>
          <w:rtl w:val="0"/>
        </w:rPr>
        <w:t>Căn cứ các quy định trên, trường hợp theo mô tả của Công ty TNHH iTechwx, Công ty cung cấp dịch vụ hỗ trợ kỹ thuật từ xa cho Công ty Microsoft Ireland Operation Limited nếu có hồ sơ, tài liệu chứng minh dịch vụ tiêu dùng ở ngoài Việt Nam và đáp ứng điều kiện áp dụng thuế suất 0% quy định tại Điều 17, Điều 18 Nghị định số 181/2025/NĐ-CP ngày 01/7/2025 của Chính phủ thì được áp dụng thuế suất thuế GTGT 0%. Công ty thực hiện hồ sơ, thủ tục áp dụng thuế suất thuế GTGT 0% theo quy định tại Điều 4 Thông tư số 69/2025/TT-BTC ngày 01/7/2025 của Bộ Tài chính.</w:t>
      </w:r>
    </w:p>
    <w:p>
      <w:pPr>
        <w:bidi w:val="0"/>
        <w:spacing w:before="120" w:beforeAutospacing="0" w:after="280" w:afterAutospacing="1"/>
      </w:pPr>
      <w:r>
        <w:rPr>
          <w:rtl w:val="0"/>
        </w:rPr>
        <w:t>Cục Thuế có ý kiến để Công ty TNHH iTechwx được biết./.</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0" w:type="dxa"/>
              <w:bottom w:w="0" w:type="dxa"/>
              <w:right w:w="0" w:type="dxa"/>
            </w:tcMar>
          </w:tcPr>
          <w:p>
            <w:pPr>
              <w:bidi w:val="0"/>
              <w:spacing w:before="120" w:beforeAutospacing="0" w:after="0" w:afterAutospacing="0"/>
            </w:pPr>
            <w:r>
              <w:rPr>
                <w:rtl w:val="0"/>
              </w:rPr>
              <w:br/>
            </w:r>
            <w:r>
              <w:rPr>
                <w:b/>
                <w:bCs/>
                <w:i/>
                <w:iCs/>
                <w:rtl w:val="0"/>
              </w:rPr>
              <w:t>Nơi nhận:</w:t>
            </w:r>
            <w:r>
              <w:rPr>
                <w:b/>
                <w:bCs/>
                <w:i/>
                <w:iCs/>
                <w:rtl w:val="0"/>
              </w:rPr>
              <w:br/>
            </w:r>
            <w:r>
              <w:rPr>
                <w:sz w:val="16"/>
                <w:rtl w:val="0"/>
              </w:rPr>
              <w:t>- Như trên;</w:t>
            </w:r>
            <w:r>
              <w:rPr>
                <w:sz w:val="16"/>
                <w:rtl w:val="0"/>
              </w:rPr>
              <w:br/>
            </w:r>
            <w:r>
              <w:rPr>
                <w:sz w:val="16"/>
                <w:rtl w:val="0"/>
              </w:rPr>
              <w:t>- Phó CTr Đặng Ngọc Minh (để b/c);</w:t>
            </w:r>
            <w:r>
              <w:rPr>
                <w:sz w:val="16"/>
                <w:rtl w:val="0"/>
              </w:rPr>
              <w:br/>
            </w:r>
            <w:r>
              <w:rPr>
                <w:sz w:val="16"/>
                <w:rtl w:val="0"/>
              </w:rPr>
              <w:t>- Thuế TP Hồ Chí Minh;</w:t>
            </w:r>
            <w:r>
              <w:rPr>
                <w:sz w:val="16"/>
                <w:rtl w:val="0"/>
              </w:rPr>
              <w:br/>
            </w:r>
            <w:r>
              <w:rPr>
                <w:sz w:val="16"/>
                <w:rtl w:val="0"/>
              </w:rPr>
              <w:t>- Vụ PC, Cục CST-BTC;</w:t>
            </w:r>
            <w:r>
              <w:rPr>
                <w:sz w:val="16"/>
                <w:rtl w:val="0"/>
              </w:rPr>
              <w:br/>
            </w:r>
            <w:r>
              <w:rPr>
                <w:sz w:val="16"/>
                <w:rtl w:val="0"/>
              </w:rPr>
              <w:t>- Ban PC, NVT - CT;</w:t>
            </w:r>
            <w:r>
              <w:rPr>
                <w:sz w:val="16"/>
                <w:rtl w:val="0"/>
              </w:rPr>
              <w:br/>
            </w:r>
            <w:r>
              <w:rPr>
                <w:sz w:val="16"/>
                <w:rtl w:val="0"/>
              </w:rPr>
              <w:t>- Website CT;</w:t>
            </w:r>
            <w:r>
              <w:rPr>
                <w:sz w:val="16"/>
                <w:rtl w:val="0"/>
              </w:rPr>
              <w:br/>
            </w:r>
            <w:r>
              <w:rPr>
                <w:sz w:val="16"/>
                <w:rtl w:val="0"/>
              </w:rPr>
              <w:t>- Lưu: VT, CS.</w:t>
            </w:r>
          </w:p>
        </w:tc>
        <w:tc>
          <w:tcPr>
            <w:tcW w:w="2500" w:type="pct"/>
            <w:shd w:val="clear" w:color="auto" w:fill="auto"/>
            <w:tcMar>
              <w:top w:w="0" w:type="dxa"/>
              <w:left w:w="0" w:type="dxa"/>
              <w:bottom w:w="0" w:type="dxa"/>
              <w:right w:w="0" w:type="dxa"/>
            </w:tcMar>
          </w:tcPr>
          <w:p>
            <w:pPr>
              <w:bidi w:val="0"/>
              <w:spacing w:before="120" w:beforeAutospacing="0" w:after="0" w:afterAutospacing="0"/>
              <w:jc w:val="center"/>
            </w:pPr>
            <w:r>
              <w:rPr>
                <w:b/>
                <w:bCs/>
                <w:rtl w:val="0"/>
              </w:rPr>
              <w:t>TL. CỤC TRƯỞNG</w:t>
            </w:r>
            <w:r>
              <w:rPr>
                <w:b/>
                <w:bCs/>
                <w:rtl w:val="0"/>
              </w:rPr>
              <w:br/>
            </w:r>
            <w:r>
              <w:rPr>
                <w:b/>
                <w:bCs/>
                <w:rtl w:val="0"/>
              </w:rPr>
              <w:t>KT. TRƯỞNG BAN CHÍNH SÁCH, THUẾ QUỐC TẾ</w:t>
            </w:r>
            <w:r>
              <w:rPr>
                <w:b/>
                <w:bCs/>
                <w:rtl w:val="0"/>
              </w:rPr>
              <w:br/>
            </w:r>
            <w:r>
              <w:rPr>
                <w:b/>
                <w:bCs/>
                <w:rtl w:val="0"/>
              </w:rPr>
              <w:t>PHÓ TRƯỞNG BAN</w:t>
            </w:r>
            <w:r>
              <w:rPr>
                <w:b/>
                <w:bCs/>
                <w:rtl w:val="0"/>
              </w:rPr>
              <w:br/>
            </w:r>
            <w:r>
              <w:rPr>
                <w:b/>
                <w:bCs/>
                <w:rtl w:val="0"/>
              </w:rPr>
              <w:br/>
            </w:r>
            <w:r>
              <w:rPr>
                <w:b/>
                <w:bCs/>
                <w:rtl w:val="0"/>
              </w:rPr>
              <w:br/>
            </w:r>
            <w:r>
              <w:rPr>
                <w:b/>
                <w:bCs/>
                <w:rtl w:val="0"/>
              </w:rPr>
              <w:br/>
            </w:r>
            <w:r>
              <w:rPr>
                <w:b/>
                <w:bCs/>
                <w:rtl w:val="0"/>
              </w:rPr>
              <w:br/>
            </w:r>
            <w:r>
              <w:rPr>
                <w:b/>
                <w:bCs/>
                <w:rtl w:val="0"/>
              </w:rPr>
              <w:t>Phạm Thị Minh Hiền</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