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rtl w:val="0"/>
              </w:rPr>
              <w:br/>
            </w:r>
            <w:r>
              <w:rPr>
                <w:b/>
                <w:bCs/>
                <w:rtl w:val="0"/>
              </w:rPr>
              <w:t>CỤC THUẾ</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S</w:t>
            </w:r>
            <w:r>
              <w:rPr>
                <w:rtl w:val="0"/>
              </w:rPr>
              <w:t>ố</w:t>
            </w:r>
            <w:r>
              <w:rPr>
                <w:rtl w:val="0"/>
              </w:rPr>
              <w:t>:</w:t>
            </w:r>
            <w:r>
              <w:rPr>
                <w:rtl w:val="0"/>
              </w:rPr>
              <w:t xml:space="preserve"> </w:t>
            </w:r>
            <w:r>
              <w:rPr>
                <w:rtl w:val="0"/>
              </w:rPr>
              <w:t>422</w:t>
            </w:r>
            <w:r>
              <w:rPr>
                <w:rtl w:val="0"/>
              </w:rPr>
              <w:t>2</w:t>
            </w:r>
            <w:r>
              <w:rPr>
                <w:rtl w:val="0"/>
              </w:rPr>
              <w:t>/CT-CS</w:t>
            </w:r>
            <w:r>
              <w:rPr>
                <w:rtl w:val="0"/>
              </w:rPr>
              <w:br/>
            </w:r>
            <w:r>
              <w:rPr>
                <w:i/>
                <w:iCs/>
                <w:sz w:val="16"/>
                <w:rtl w:val="0"/>
              </w:rPr>
              <w:t>V/v: hoàn trả lệ phí trước bạ đã nộp</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w:t>
            </w:r>
            <w:r>
              <w:rPr>
                <w:i/>
                <w:iCs/>
                <w:rtl w:val="0"/>
              </w:rPr>
              <w:t>23</w:t>
            </w:r>
            <w:r>
              <w:rPr>
                <w:i/>
                <w:iCs/>
                <w:rtl w:val="0"/>
              </w:rPr>
              <w:t xml:space="preserve">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Kính gửi:</w:t>
      </w:r>
      <w:r>
        <w:rPr>
          <w:rtl w:val="0"/>
        </w:rPr>
        <w:t xml:space="preserve"> Thuế tỉnh Tây Ninh.</w:t>
      </w:r>
    </w:p>
    <w:p>
      <w:pPr>
        <w:bidi w:val="0"/>
        <w:spacing w:before="120" w:beforeAutospacing="0" w:after="280" w:afterAutospacing="1"/>
      </w:pPr>
      <w:r>
        <w:rPr>
          <w:rtl w:val="0"/>
        </w:rPr>
        <w:t>Trả lời Công văn số 2900/TNI-CNTK ngày 17/11/2025 của Thuế tỉnh Tây Ninh về vướng mắc hoàn trả lệ phí trước bạ đã nộp đối với trường h</w:t>
      </w:r>
      <w:r>
        <w:rPr>
          <w:rtl w:val="0"/>
        </w:rPr>
        <w:t>ợ</w:t>
      </w:r>
      <w:r>
        <w:rPr>
          <w:rtl w:val="0"/>
        </w:rPr>
        <w:t>p bà Phạm Thị Thu Hồng, Cục Thuế có ý kiến như sau:</w:t>
      </w:r>
    </w:p>
    <w:p>
      <w:pPr>
        <w:bidi w:val="0"/>
        <w:spacing w:before="120" w:beforeAutospacing="0" w:after="280" w:afterAutospacing="1"/>
      </w:pPr>
      <w:r>
        <w:rPr>
          <w:rtl w:val="0"/>
        </w:rPr>
        <w:t xml:space="preserve">Tại </w:t>
      </w:r>
      <w:bookmarkStart w:id="0" w:name="dc_1"/>
      <w:r>
        <w:rPr>
          <w:rtl w:val="0"/>
        </w:rPr>
        <w:t>Điều 3 Nghị định số 10/2022/NĐ-CP</w:t>
      </w:r>
      <w:bookmarkEnd w:id="0"/>
      <w:r>
        <w:rPr>
          <w:rtl w:val="0"/>
        </w:rPr>
        <w:t xml:space="preserve"> ngày 15/01/2022 của Chính phủ quy định ô tô, rơ moóc hoặc sơ mi rơ moóc được kéo bởi ô tô và các loại xe tương tự phải đăng ký và gắn biển số do cơ quan nhà nước có thẩm quyền cấp là đối tượng chịu lệ phí trước bạ.</w:t>
      </w:r>
    </w:p>
    <w:p>
      <w:pPr>
        <w:bidi w:val="0"/>
        <w:spacing w:before="120" w:beforeAutospacing="0" w:after="280" w:afterAutospacing="1"/>
      </w:pPr>
      <w:r>
        <w:rPr>
          <w:rtl w:val="0"/>
        </w:rPr>
        <w:t xml:space="preserve">Tại </w:t>
      </w:r>
      <w:bookmarkStart w:id="1" w:name="dc_2"/>
      <w:r>
        <w:rPr>
          <w:rtl w:val="0"/>
        </w:rPr>
        <w:t>Điều 4 Nghị định số 10/2022/NĐ-CP</w:t>
      </w:r>
      <w:bookmarkEnd w:id="1"/>
      <w:r>
        <w:rPr>
          <w:rtl w:val="0"/>
        </w:rPr>
        <w:t xml:space="preserve"> quy định tổ chức, cá nhân có tài sản thuộc đ</w:t>
      </w:r>
      <w:r>
        <w:rPr>
          <w:rtl w:val="0"/>
        </w:rPr>
        <w:t>ố</w:t>
      </w:r>
      <w:r>
        <w:rPr>
          <w:rtl w:val="0"/>
        </w:rPr>
        <w:t>i tượng chịu lệ phí trước bạ phải nộp lệ phí trước bạ khi đăng ký quy</w:t>
      </w:r>
      <w:r>
        <w:rPr>
          <w:rtl w:val="0"/>
        </w:rPr>
        <w:t>ề</w:t>
      </w:r>
      <w:r>
        <w:rPr>
          <w:rtl w:val="0"/>
        </w:rPr>
        <w:t>n sở hữu, quyền sử dụng với cơ quan nhà nước có thẩm quyền, trừ trường hợp thuộc diện miễn lệ phí trước bạ theo quy định.</w:t>
      </w:r>
    </w:p>
    <w:p>
      <w:pPr>
        <w:bidi w:val="0"/>
        <w:spacing w:before="120" w:beforeAutospacing="0" w:after="280" w:afterAutospacing="1"/>
      </w:pPr>
      <w:bookmarkStart w:id="2" w:name="dc_3"/>
      <w:r>
        <w:rPr>
          <w:rtl w:val="0"/>
        </w:rPr>
        <w:t>Điều 60 Luật Quản lý thuế số 38/2019/QH14</w:t>
      </w:r>
      <w:bookmarkEnd w:id="2"/>
      <w:r>
        <w:rPr>
          <w:rtl w:val="0"/>
        </w:rPr>
        <w:t xml:space="preserve"> quy định việc xử lý số tiền thuế, tiền chậm nộp, tiền phạt nộp thừa.</w:t>
      </w:r>
    </w:p>
    <w:p>
      <w:pPr>
        <w:bidi w:val="0"/>
        <w:spacing w:before="120" w:beforeAutospacing="0" w:after="280" w:afterAutospacing="1"/>
      </w:pPr>
      <w:bookmarkStart w:id="3" w:name="dc_4"/>
      <w:r>
        <w:rPr>
          <w:rtl w:val="0"/>
        </w:rPr>
        <w:t>Điều 70, Điều 71, Điều 72 và Điều 76 Luật Quản lý thuế</w:t>
      </w:r>
      <w:bookmarkEnd w:id="3"/>
      <w:r>
        <w:rPr>
          <w:rtl w:val="0"/>
        </w:rPr>
        <w:t xml:space="preserve"> quy định về các trường hợp hoàn thuế, hồ sơ hoàn thuế, tiếp nhận, phản hồi thông tin hồ sơ hoàn thuế và thẩm quyền quyết định hoàn thuế.</w:t>
      </w:r>
    </w:p>
    <w:p>
      <w:pPr>
        <w:bidi w:val="0"/>
        <w:spacing w:before="120" w:beforeAutospacing="0" w:after="280" w:afterAutospacing="1"/>
      </w:pPr>
      <w:bookmarkStart w:id="4" w:name="dc_5"/>
      <w:r>
        <w:rPr>
          <w:rtl w:val="0"/>
        </w:rPr>
        <w:t>Điều 25 Thông tư s</w:t>
      </w:r>
      <w:bookmarkEnd w:id="4"/>
      <w:r>
        <w:rPr>
          <w:rtl w:val="0"/>
        </w:rPr>
        <w:t>ố</w:t>
      </w:r>
      <w:r>
        <w:rPr>
          <w:rtl w:val="0"/>
        </w:rPr>
        <w:t xml:space="preserve"> 80/2021/TT-BTC</w:t>
      </w:r>
      <w:r>
        <w:rPr>
          <w:rtl w:val="0"/>
        </w:rPr>
        <w:t xml:space="preserve"> ngày 29/9/2021 của Bộ Tài chính hướng dẫn xử lý khoản nộp thừa trong đó, đối với trường hợp người nộp thuế xác định nghĩa vụ theo thông báo nộp tiền của cơ quan thuế, thời điểm xác định khoản nộp thừa là ngày người nộp thu</w:t>
      </w:r>
      <w:r>
        <w:rPr>
          <w:rtl w:val="0"/>
        </w:rPr>
        <w:t>ế</w:t>
      </w:r>
      <w:r>
        <w:rPr>
          <w:rtl w:val="0"/>
        </w:rPr>
        <w:t xml:space="preserve"> đã</w:t>
      </w:r>
      <w:r>
        <w:rPr>
          <w:rtl w:val="0"/>
        </w:rPr>
        <w:t xml:space="preserve"> </w:t>
      </w:r>
      <w:r>
        <w:rPr>
          <w:rtl w:val="0"/>
        </w:rPr>
        <w:t>nộp tiền vào ngân sách nhà nước; trường h</w:t>
      </w:r>
      <w:r>
        <w:rPr>
          <w:rtl w:val="0"/>
        </w:rPr>
        <w:t>ợ</w:t>
      </w:r>
      <w:r>
        <w:rPr>
          <w:rtl w:val="0"/>
        </w:rPr>
        <w:t>p có thông báo điều chỉnh, bổ sung thì th</w:t>
      </w:r>
      <w:r>
        <w:rPr>
          <w:rtl w:val="0"/>
        </w:rPr>
        <w:t xml:space="preserve">ời </w:t>
      </w:r>
      <w:r>
        <w:rPr>
          <w:rtl w:val="0"/>
        </w:rPr>
        <w:t xml:space="preserve">điểm xác định khoản nộp thừa là ngày ban hành thông báo điều </w:t>
      </w:r>
      <w:r>
        <w:rPr>
          <w:rtl w:val="0"/>
        </w:rPr>
        <w:t>chỉnh, bổ sung</w:t>
      </w:r>
      <w:r>
        <w:rPr>
          <w:rtl w:val="0"/>
        </w:rPr>
        <w:t>.</w:t>
      </w:r>
    </w:p>
    <w:p>
      <w:pPr>
        <w:bidi w:val="0"/>
        <w:spacing w:before="120" w:beforeAutospacing="0" w:after="280" w:afterAutospacing="1"/>
      </w:pPr>
      <w:r>
        <w:rPr>
          <w:rtl w:val="0"/>
        </w:rPr>
        <w:t xml:space="preserve">Theo hồ sơ </w:t>
      </w:r>
      <w:r>
        <w:rPr>
          <w:rtl w:val="0"/>
        </w:rPr>
        <w:t>của Thuế tỉnh Tây Ninh</w:t>
      </w:r>
      <w:r>
        <w:rPr>
          <w:rtl w:val="0"/>
        </w:rPr>
        <w:t>, ngày 17/9/2025, bà Phạm Th</w:t>
      </w:r>
      <w:r>
        <w:rPr>
          <w:rtl w:val="0"/>
        </w:rPr>
        <w:t>ị</w:t>
      </w:r>
      <w:r>
        <w:rPr>
          <w:rtl w:val="0"/>
        </w:rPr>
        <w:t xml:space="preserve"> Thu Hồng đã nộp lệ phí trước bạ</w:t>
      </w:r>
      <w:r>
        <w:rPr>
          <w:rtl w:val="0"/>
        </w:rPr>
        <w:t xml:space="preserve"> </w:t>
      </w:r>
      <w:r>
        <w:rPr>
          <w:rtl w:val="0"/>
        </w:rPr>
        <w:t xml:space="preserve">đối với </w:t>
      </w:r>
      <w:r>
        <w:rPr>
          <w:rtl w:val="0"/>
        </w:rPr>
        <w:t>x</w:t>
      </w:r>
      <w:r>
        <w:rPr>
          <w:rtl w:val="0"/>
        </w:rPr>
        <w:t>e ô tô khách theo Thông báo thuế số 1152580</w:t>
      </w:r>
      <w:r>
        <w:rPr>
          <w:rtl w:val="0"/>
        </w:rPr>
        <w:t>11</w:t>
      </w:r>
      <w:r>
        <w:rPr>
          <w:rtl w:val="0"/>
        </w:rPr>
        <w:t>50004268/TB-TCS4 ng</w:t>
      </w:r>
      <w:r>
        <w:rPr>
          <w:rtl w:val="0"/>
        </w:rPr>
        <w:t>à</w:t>
      </w:r>
      <w:r>
        <w:rPr>
          <w:rtl w:val="0"/>
        </w:rPr>
        <w:t>y 17/9/2025 với số tiền 19.956.000 đồng</w:t>
      </w:r>
      <w:r>
        <w:rPr>
          <w:rtl w:val="0"/>
        </w:rPr>
        <w:t>.</w:t>
      </w:r>
      <w:r>
        <w:rPr>
          <w:rtl w:val="0"/>
        </w:rPr>
        <w:t xml:space="preserve"> </w:t>
      </w:r>
      <w:r>
        <w:rPr>
          <w:rtl w:val="0"/>
        </w:rPr>
        <w:t>S</w:t>
      </w:r>
      <w:r>
        <w:rPr>
          <w:rtl w:val="0"/>
        </w:rPr>
        <w:t>ố tiền đã nộp khớp đ</w:t>
      </w:r>
      <w:r>
        <w:rPr>
          <w:rtl w:val="0"/>
        </w:rPr>
        <w:t>ú</w:t>
      </w:r>
      <w:r>
        <w:rPr>
          <w:rtl w:val="0"/>
        </w:rPr>
        <w:t>ng với số tiền phải nộp theo Thông báo của cơ quan thuế; do đó, tại thời điểm nộp tiền vào ngân sách nhà nước, chưa phát sinh khoản lệ phí trước bạ nộp thừa. Tuy nhiên, sau khi nộp lệ phí trước bạ, bà Phạm Thị Thu Hồng và Công ty Cổ phần Auto Tân Thuận đã thỏa thuận hủy giao dịch mua bán xe; bên bán đã lập biên bản thu hồi hóa đơn số 8916, ký hiệu 1C25TNP lập ngày 12/9/2025 và lập hóa đơn số 9089, ký hiệu 1C25TNP ngày 18/9/2025 điều chỉnh giảm toàn bộ giá trị hóa đơn số 8916. Bà Hồng chưa thực hiện thủ tục đăng ký xe tại cơ quan công an. Như vậy, sau khi giao dịch mua bán xe bị hủy và trước thời điểm đăng ký quyền sở hữu, bà Hồng không còn tài sản thuộc trường hợp phải đăng ký quyền sở hữu đối với chiếc xe nêu trên; về bản chất, nghĩa vụ lệ phí trước bạ đối với giao dịch mua bán xe đã không còn căn cứ thực tế để tiếp tục thực hiện. Đối với trường hợp này, căn cứ để xử lý là hồ sơ chứng minh giao dịch mua bán xe đã bị hủy trước khi đăng ký quyền sở hữu và người nộp lệ phí trước bạ không còn thuộc trường hợp phải nộp lệ phí trước bạ đối với tài sản này.</w:t>
      </w:r>
    </w:p>
    <w:p>
      <w:pPr>
        <w:bidi w:val="0"/>
        <w:spacing w:before="120" w:beforeAutospacing="0" w:after="280" w:afterAutospacing="1"/>
      </w:pPr>
      <w:r>
        <w:rPr>
          <w:rtl w:val="0"/>
        </w:rPr>
        <w:t>Đ</w:t>
      </w:r>
      <w:r>
        <w:rPr>
          <w:rtl w:val="0"/>
        </w:rPr>
        <w:t>ề</w:t>
      </w:r>
      <w:r>
        <w:rPr>
          <w:rtl w:val="0"/>
        </w:rPr>
        <w:t xml:space="preserve"> nghị Thuế tỉnh Tây Ninh căn cứ hồ sơ cụ th</w:t>
      </w:r>
      <w:r>
        <w:rPr>
          <w:rtl w:val="0"/>
        </w:rPr>
        <w:t>ể</w:t>
      </w:r>
      <w:r>
        <w:rPr>
          <w:rtl w:val="0"/>
        </w:rPr>
        <w:t>, đối chiếu quy định của pháp luật về lệ phí trước bạ, pháp luật về hóa đơn và pháp luật quản lý thuế để xử lý. Trường hợp hồ sơ đủ căn cứ xác định giao dịch mua bán xe đã bị hủy, bà Hồng chưa đ</w:t>
      </w:r>
      <w:r>
        <w:rPr>
          <w:rtl w:val="0"/>
        </w:rPr>
        <w:t>ă</w:t>
      </w:r>
      <w:r>
        <w:rPr>
          <w:rtl w:val="0"/>
        </w:rPr>
        <w:t>ng ký quyền sở hữu</w:t>
      </w:r>
      <w:bookmarkStart w:id="5" w:name="_GoBack"/>
      <w:bookmarkEnd w:id="5"/>
      <w:r>
        <w:rPr>
          <w:rtl w:val="0"/>
        </w:rPr>
        <w:t xml:space="preserve"> xe tại cơ quan công an và không còn thuộc trường hợp phải nộp lệ phí trước bạ đối với chiếc xe nêu trên, Thuế tỉnh Tây Ninh thực hiện điều chỉnh nghĩa vụ lệ phí trước bạ do giao dịch mua bán xe đã bị hủy trước khi đ</w:t>
      </w:r>
      <w:r>
        <w:rPr>
          <w:rtl w:val="0"/>
        </w:rPr>
        <w:t>ă</w:t>
      </w:r>
      <w:r>
        <w:rPr>
          <w:rtl w:val="0"/>
        </w:rPr>
        <w:t>ng ký quyền sở hữu. Trường hợp phát sinh số tiền lệ phí trước bạ nộp thừa thì Thuế tỉnh Tây Ninh hướng dẫn người nộp thuế lập hồ sơ đề nghị xử lý khoản nộp thừa theo quy định của pháp luật quản lý thuế.</w:t>
      </w:r>
    </w:p>
    <w:p>
      <w:pPr>
        <w:bidi w:val="0"/>
        <w:spacing w:before="120" w:beforeAutospacing="0" w:after="280" w:afterAutospacing="1"/>
      </w:pPr>
      <w:r>
        <w:rPr>
          <w:rtl w:val="0"/>
        </w:rPr>
        <w:t>Trường hợp hồ sơ lệ phí trước bạ đã được truyền điện tử sang cơ quan công an, Thuế tỉnh Tây Ninh phối hợp với cơ quan công an có liên quan để cập nhật, điều chỉnh hoặc hủy thông tin hồ sơ đã truyền, bảo đảm thống nhất giữa dữ liệu quản lý thuế và dữ liệu đăng ký xe, tránh phát sinh việc sử dụng hồ sơ lệ phí trước bạ đã được xử lý hoàn trả để đăng ký quyền sở hữu tài sản.</w:t>
      </w:r>
    </w:p>
    <w:p>
      <w:pPr>
        <w:bidi w:val="0"/>
        <w:spacing w:before="120" w:beforeAutospacing="0" w:after="280" w:afterAutospacing="1"/>
      </w:pPr>
      <w:r>
        <w:rPr>
          <w:rtl w:val="0"/>
        </w:rPr>
        <w:t>Đ</w:t>
      </w:r>
      <w:r>
        <w:rPr>
          <w:rtl w:val="0"/>
        </w:rPr>
        <w:t>ề</w:t>
      </w:r>
      <w:r>
        <w:rPr>
          <w:rtl w:val="0"/>
        </w:rPr>
        <w:t xml:space="preserve"> nghị Thuế tỉnh Tây Ninh căn cứ hồ sơ thực tế và các quy định pháp luật nêu trên để thực hiện theo đúng thẩm quyền; trường hợp phát sinh vướng mắc về xử lý kỹ thuật trên hệ thống quản lý thuế, kịp thời báo cáo Cục Thuế để được hướng dẫn phối hợp xử lý.</w:t>
      </w:r>
    </w:p>
    <w:p>
      <w:pPr>
        <w:bidi w:val="0"/>
        <w:spacing w:before="120" w:beforeAutospacing="0" w:after="280" w:afterAutospacing="1"/>
      </w:pPr>
      <w:r>
        <w:rPr>
          <w:rtl w:val="0"/>
        </w:rPr>
        <w:t>Cục Thuế trả lời để Thuế tỉnh Tây Ninh biết./.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461"/>
        <w:gridCol w:w="5179"/>
      </w:tblGrid>
      <w:tr>
        <w:tblPrEx>
          <w:tblW w:w="5000" w:type="pct"/>
          <w:jc w:val="left"/>
          <w:tblCellMar>
            <w:top w:w="0" w:type="dxa"/>
            <w:left w:w="0" w:type="dxa"/>
            <w:bottom w:w="0" w:type="dxa"/>
            <w:right w:w="0" w:type="dxa"/>
          </w:tblCellMar>
        </w:tblPrEx>
        <w:trPr>
          <w:jc w:val="left"/>
        </w:trPr>
        <w:tc>
          <w:tcPr>
            <w:tcW w:w="2003"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rtl w:val="0"/>
              </w:rPr>
              <w:t xml:space="preserve">- </w:t>
            </w:r>
            <w:r>
              <w:rPr>
                <w:rtl w:val="0"/>
              </w:rPr>
              <w:t>Như trên;</w:t>
            </w:r>
            <w:r>
              <w:rPr>
                <w:rtl w:val="0"/>
              </w:rPr>
              <w:br/>
            </w:r>
            <w:r>
              <w:rPr>
                <w:rtl w:val="0"/>
              </w:rPr>
              <w:t xml:space="preserve">- </w:t>
            </w:r>
            <w:r>
              <w:rPr>
                <w:rtl w:val="0"/>
              </w:rPr>
              <w:t>PCtr Đặng Ngọc Minh (để b/c);</w:t>
            </w:r>
            <w:r>
              <w:rPr>
                <w:rtl w:val="0"/>
              </w:rPr>
              <w:br/>
            </w:r>
            <w:r>
              <w:rPr>
                <w:rtl w:val="0"/>
              </w:rPr>
              <w:t xml:space="preserve">- </w:t>
            </w:r>
            <w:r>
              <w:rPr>
                <w:rtl w:val="0"/>
              </w:rPr>
              <w:t>Ban PC, NVT (C</w:t>
            </w:r>
            <w:r>
              <w:rPr>
                <w:rtl w:val="0"/>
              </w:rPr>
              <w:t>T</w:t>
            </w:r>
            <w:r>
              <w:rPr>
                <w:rtl w:val="0"/>
              </w:rPr>
              <w:t>);</w:t>
            </w:r>
            <w:r>
              <w:rPr>
                <w:rtl w:val="0"/>
              </w:rPr>
              <w:br/>
            </w:r>
            <w:r>
              <w:rPr>
                <w:rtl w:val="0"/>
              </w:rPr>
              <w:t>-</w:t>
            </w:r>
            <w:r>
              <w:rPr>
                <w:rtl w:val="0"/>
              </w:rPr>
              <w:t xml:space="preserve"> </w:t>
            </w:r>
            <w:r>
              <w:rPr>
                <w:rtl w:val="0"/>
              </w:rPr>
              <w:t>Website</w:t>
            </w:r>
            <w:r>
              <w:rPr>
                <w:rtl w:val="0"/>
              </w:rPr>
              <w:t xml:space="preserve"> </w:t>
            </w:r>
            <w:r>
              <w:rPr>
                <w:rtl w:val="0"/>
              </w:rPr>
              <w:t>CT;</w:t>
            </w:r>
            <w:r>
              <w:rPr>
                <w:rtl w:val="0"/>
              </w:rPr>
              <w:br/>
            </w:r>
            <w:r>
              <w:rPr>
                <w:rtl w:val="0"/>
              </w:rPr>
              <w:t xml:space="preserve">- </w:t>
            </w:r>
            <w:r>
              <w:rPr>
                <w:rtl w:val="0"/>
              </w:rPr>
              <w:t>Lưu: VT, CS</w:t>
            </w:r>
            <w:r>
              <w:rPr>
                <w:rtl w:val="0"/>
              </w:rPr>
              <w:t xml:space="preserve"> </w:t>
            </w:r>
            <w:r>
              <w:rPr>
                <w:rtl w:val="0"/>
              </w:rPr>
              <w:t>(2b).</w:t>
            </w:r>
          </w:p>
        </w:tc>
        <w:tc>
          <w:tcPr>
            <w:tcW w:w="2997"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 xml:space="preserve">TRƯỞNG BAN BAN CHÍNH SÁCH, </w:t>
            </w:r>
            <w:r>
              <w:rPr>
                <w:b/>
                <w:bCs/>
                <w:rtl w:val="0"/>
              </w:rPr>
              <w:br/>
            </w:r>
            <w:r>
              <w:rPr>
                <w:b/>
                <w:bCs/>
                <w:rtl w:val="0"/>
              </w:rPr>
              <w:t>THUẾ QUỐC TẾ</w:t>
            </w:r>
            <w:r>
              <w:rPr>
                <w:b/>
                <w:bCs/>
                <w:rtl w:val="0"/>
              </w:rPr>
              <w:br/>
            </w:r>
            <w:r>
              <w:rPr>
                <w:b/>
                <w:bCs/>
                <w:rtl w:val="0"/>
              </w:rPr>
              <w:br/>
            </w:r>
            <w:r>
              <w:rPr>
                <w:b/>
                <w:bCs/>
                <w:rtl w:val="0"/>
              </w:rPr>
              <w:br/>
            </w:r>
            <w:r>
              <w:rPr>
                <w:b/>
                <w:bCs/>
                <w:rtl w:val="0"/>
              </w:rPr>
              <w:br/>
            </w:r>
            <w:r>
              <w:rPr>
                <w:b/>
                <w:bCs/>
                <w:rtl w:val="0"/>
              </w:rPr>
              <w:br/>
            </w:r>
            <w:r>
              <w:rPr>
                <w:b/>
                <w:bCs/>
                <w:rtl w:val="0"/>
              </w:rPr>
              <w:t>Nguyễn Thị Thanh Hằng</w:t>
            </w:r>
          </w:p>
        </w:tc>
      </w:tr>
    </w:tbl>
    <w:p>
      <w:pPr>
        <w:bidi w:val="0"/>
        <w:spacing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