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BỘ TÀI CHÍNH</w:t>
            </w:r>
            <w:r>
              <w:rPr>
                <w:rtl w:val="0"/>
              </w:rPr>
              <w:br/>
            </w:r>
            <w:r>
              <w:rPr>
                <w:b/>
                <w:bCs/>
                <w:rtl w:val="0"/>
              </w:rPr>
              <w:t>CỤC THU</w:t>
            </w:r>
            <w:r>
              <w:rPr>
                <w:b/>
                <w:bCs/>
                <w:rtl w:val="0"/>
              </w:rPr>
              <w:t>Ế</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rPr>
                <w:rtl w:val="0"/>
              </w:rPr>
            </w:pPr>
            <w:r>
              <w:rPr>
                <w:rtl w:val="0"/>
              </w:rPr>
              <w:t>Số: 4217/CT-NVT</w:t>
            </w:r>
            <w:r>
              <w:rPr>
                <w:rtl w:val="0"/>
              </w:rPr>
              <w:br/>
            </w:r>
            <w:r>
              <w:rPr>
                <w:i/>
                <w:iCs/>
                <w:sz w:val="16"/>
                <w:rtl w:val="0"/>
              </w:rPr>
              <w:t>V/v vướng mắc trong giải quyết hồ</w:t>
            </w:r>
            <w:r>
              <w:rPr>
                <w:i/>
                <w:iCs/>
                <w:rtl w:val="0"/>
              </w:rPr>
              <w:t xml:space="preserve"> </w:t>
            </w:r>
            <w:r>
              <w:rPr>
                <w:i/>
                <w:iCs/>
                <w:rtl w:val="0"/>
              </w:rPr>
              <w:t>sơ hoàn thuế TNDN nộp thừa</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w:t>
            </w:r>
            <w:r>
              <w:rPr>
                <w:i/>
                <w:iCs/>
                <w:rtl w:val="0"/>
              </w:rPr>
              <w:t>3</w:t>
            </w:r>
            <w:r>
              <w:rPr>
                <w:i/>
                <w:iCs/>
                <w:rtl w:val="0"/>
              </w:rPr>
              <w:t xml:space="preserve"> tháng </w:t>
            </w:r>
            <w:r>
              <w:rPr>
                <w:i/>
                <w:iCs/>
                <w:rtl w:val="0"/>
              </w:rPr>
              <w:t xml:space="preserve">6 </w:t>
            </w:r>
            <w:r>
              <w:rPr>
                <w:i/>
                <w:iCs/>
                <w:rtl w:val="0"/>
              </w:rPr>
              <w:t>năm 2026</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Kính gửi:</w:t>
      </w:r>
      <w:r>
        <w:rPr>
          <w:rtl w:val="0"/>
        </w:rPr>
        <w:t xml:space="preserve"> Thuế tỉnh Quảng Ngãi</w:t>
      </w:r>
    </w:p>
    <w:p>
      <w:pPr>
        <w:bidi w:val="0"/>
        <w:spacing w:before="120" w:beforeAutospacing="0" w:after="280" w:afterAutospacing="1"/>
      </w:pPr>
      <w:r>
        <w:rPr>
          <w:rtl w:val="0"/>
        </w:rPr>
        <w:t>Cục Thuế nhận được công văn số 3861/QNG-QLDN1 ngày 24/12/2025 của Thuế tỉnh Quảng Ngãi về vướng mắc trong giải quyết hồ sơ hoàn thuế TNDN nộp thừa</w:t>
      </w:r>
      <w:r>
        <w:rPr>
          <w:rtl w:val="0"/>
        </w:rPr>
        <w:t>.</w:t>
      </w:r>
      <w:r>
        <w:rPr>
          <w:rtl w:val="0"/>
        </w:rPr>
        <w:t xml:space="preserve"> </w:t>
      </w:r>
      <w:r>
        <w:rPr>
          <w:rtl w:val="0"/>
        </w:rPr>
        <w:t>Về vấn đề này, Cục Thuế có ý kiến như sau:</w:t>
      </w:r>
    </w:p>
    <w:p>
      <w:pPr>
        <w:bidi w:val="0"/>
        <w:spacing w:before="120" w:beforeAutospacing="0" w:after="280" w:afterAutospacing="1"/>
      </w:pPr>
      <w:r>
        <w:rPr>
          <w:rtl w:val="0"/>
        </w:rPr>
        <w:t xml:space="preserve">Căn cứ quy định tại </w:t>
      </w:r>
      <w:bookmarkStart w:id="0" w:name="dc_1"/>
      <w:r>
        <w:rPr>
          <w:rtl w:val="0"/>
        </w:rPr>
        <w:t>Điều 12 Thông tư số 78/2014/TT-BTC</w:t>
      </w:r>
      <w:bookmarkEnd w:id="0"/>
      <w:r>
        <w:rPr>
          <w:rtl w:val="0"/>
        </w:rPr>
        <w:t xml:space="preserve"> ngày 18/6/2014 của Bộ Tài chính hướng dẫn thi hành Nghị định số 218/2013/NĐ-CP ngày 26/12/2013 của Chính phủ quy định và hướng dẫn thi hành Luật Thuế thu nhập doanh nghiệp;</w:t>
      </w:r>
    </w:p>
    <w:p>
      <w:pPr>
        <w:bidi w:val="0"/>
        <w:spacing w:before="120" w:beforeAutospacing="0" w:after="280" w:afterAutospacing="1"/>
      </w:pPr>
      <w:r>
        <w:rPr>
          <w:rtl w:val="0"/>
        </w:rPr>
        <w:t xml:space="preserve">Căn cứ quy định tại </w:t>
      </w:r>
      <w:bookmarkStart w:id="1" w:name="dc_2"/>
      <w:r>
        <w:rPr>
          <w:rtl w:val="0"/>
        </w:rPr>
        <w:t>Khoản 1 Điều 17</w:t>
      </w:r>
      <w:bookmarkEnd w:id="1"/>
      <w:r>
        <w:rPr>
          <w:rtl w:val="0"/>
        </w:rPr>
        <w:t xml:space="preserve"> về phân bổ thuế Thu nhập doanh nghiệp tại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pPr>
        <w:bidi w:val="0"/>
        <w:spacing w:before="120" w:beforeAutospacing="0" w:after="280" w:afterAutospacing="1"/>
      </w:pPr>
      <w:r>
        <w:rPr>
          <w:rtl w:val="0"/>
        </w:rPr>
        <w:t xml:space="preserve">Căn cứ quy định tại </w:t>
      </w:r>
      <w:bookmarkStart w:id="2" w:name="dc_3"/>
      <w:r>
        <w:rPr>
          <w:rtl w:val="0"/>
        </w:rPr>
        <w:t>điểm i, k7 khoản 1 Điều 5 Thông tư số 80/2021/TT-BTC</w:t>
      </w:r>
      <w:bookmarkEnd w:id="2"/>
      <w:r>
        <w:rPr>
          <w:rtl w:val="0"/>
        </w:rPr>
        <w:t xml:space="preserve"> ngày 29/9/2021 của Bộ Tài chính quy định về trách nhiệm quản lý thuế của cơ quan thuế quản lý trực tiếp, cơ quan thuế quản lý địa bàn nhận phân bổ và cơ quan thu</w:t>
      </w:r>
      <w:r>
        <w:rPr>
          <w:rtl w:val="0"/>
        </w:rPr>
        <w:t>ế</w:t>
      </w:r>
      <w:r>
        <w:rPr>
          <w:rtl w:val="0"/>
        </w:rPr>
        <w:t xml:space="preserve"> quản lý khoản thu ngân sách nhà nước;</w:t>
      </w:r>
    </w:p>
    <w:p>
      <w:pPr>
        <w:bidi w:val="0"/>
        <w:spacing w:before="120" w:beforeAutospacing="0" w:after="280" w:afterAutospacing="1"/>
      </w:pPr>
      <w:r>
        <w:rPr>
          <w:rtl w:val="0"/>
        </w:rPr>
        <w:t xml:space="preserve">Căn cứ quy định tại </w:t>
      </w:r>
      <w:bookmarkStart w:id="3" w:name="dc_4"/>
      <w:r>
        <w:rPr>
          <w:rtl w:val="0"/>
        </w:rPr>
        <w:t>điểm b khoản 1 Điều 41 Thông tư số 80/2021/TT-BTC</w:t>
      </w:r>
      <w:bookmarkEnd w:id="3"/>
      <w:r>
        <w:rPr>
          <w:rtl w:val="0"/>
        </w:rPr>
        <w:t xml:space="preserve"> ngày 29/9/2021 của Bộ Tài chính quy định về trách nhiệm của cơ quan thuế trong việc tiếp nhận và giải quyết hồ sơ hoàn nộp thừa;</w:t>
      </w:r>
    </w:p>
    <w:p>
      <w:pPr>
        <w:bidi w:val="0"/>
        <w:spacing w:before="120" w:beforeAutospacing="0" w:after="280" w:afterAutospacing="1"/>
      </w:pPr>
      <w:r>
        <w:rPr>
          <w:rtl w:val="0"/>
        </w:rPr>
        <w:t>Trường hợp Công ty cổ phần Long Việt tại th</w:t>
      </w:r>
      <w:r>
        <w:rPr>
          <w:rtl w:val="0"/>
        </w:rPr>
        <w:t>à</w:t>
      </w:r>
      <w:r>
        <w:rPr>
          <w:rtl w:val="0"/>
        </w:rPr>
        <w:t>nh phố Đà N</w:t>
      </w:r>
      <w:r>
        <w:rPr>
          <w:rtl w:val="0"/>
        </w:rPr>
        <w:t>ẵ</w:t>
      </w:r>
      <w:r>
        <w:rPr>
          <w:rtl w:val="0"/>
        </w:rPr>
        <w:t>ng (Công ty) đã thực hiện kê khai phân b</w:t>
      </w:r>
      <w:r>
        <w:rPr>
          <w:rtl w:val="0"/>
        </w:rPr>
        <w:t>ổ</w:t>
      </w:r>
      <w:r>
        <w:rPr>
          <w:rtl w:val="0"/>
        </w:rPr>
        <w:t xml:space="preserve"> và nộp số thuế thu nhập doanh nghiệp (TNDN) phân b</w:t>
      </w:r>
      <w:r>
        <w:rPr>
          <w:rtl w:val="0"/>
        </w:rPr>
        <w:t>ổ</w:t>
      </w:r>
      <w:r>
        <w:rPr>
          <w:rtl w:val="0"/>
        </w:rPr>
        <w:t xml:space="preserve"> năm 2022 và 2023 cho địa bàn tỉnh Quảng Ngãi nhưng không thuộc trường hợp phải thực hiện phân bổ thuế TNDN thì số thuế TNDN đã nộp được xác định là nộp nh</w:t>
      </w:r>
      <w:r>
        <w:rPr>
          <w:rtl w:val="0"/>
        </w:rPr>
        <w:t>ầ</w:t>
      </w:r>
      <w:r>
        <w:rPr>
          <w:rtl w:val="0"/>
        </w:rPr>
        <w:t>m theo quy định của pháp luật v</w:t>
      </w:r>
      <w:r>
        <w:rPr>
          <w:rtl w:val="0"/>
        </w:rPr>
        <w:t>ề</w:t>
      </w:r>
      <w:r>
        <w:rPr>
          <w:rtl w:val="0"/>
        </w:rPr>
        <w:t xml:space="preserve"> quản lý thu</w:t>
      </w:r>
      <w:r>
        <w:rPr>
          <w:rtl w:val="0"/>
        </w:rPr>
        <w:t>ế</w:t>
      </w:r>
      <w:r>
        <w:rPr>
          <w:rtl w:val="0"/>
        </w:rPr>
        <w:t>.</w:t>
      </w:r>
    </w:p>
    <w:p>
      <w:pPr>
        <w:bidi w:val="0"/>
        <w:spacing w:before="120" w:beforeAutospacing="0" w:after="280" w:afterAutospacing="1"/>
      </w:pPr>
      <w:r>
        <w:rPr>
          <w:rtl w:val="0"/>
        </w:rPr>
        <w:t>Đ</w:t>
      </w:r>
      <w:r>
        <w:rPr>
          <w:rtl w:val="0"/>
        </w:rPr>
        <w:t>ề</w:t>
      </w:r>
      <w:r>
        <w:rPr>
          <w:rtl w:val="0"/>
        </w:rPr>
        <w:t xml:space="preserve"> nghị Thuế tỉnh Quảng Ngãi phối hợp Thuế TP Đà N</w:t>
      </w:r>
      <w:r>
        <w:rPr>
          <w:rtl w:val="0"/>
        </w:rPr>
        <w:t>ẵ</w:t>
      </w:r>
      <w:r>
        <w:rPr>
          <w:rtl w:val="0"/>
        </w:rPr>
        <w:t xml:space="preserve">ng nghiên cứu quy định tại </w:t>
      </w:r>
      <w:bookmarkStart w:id="4" w:name="dc_5"/>
      <w:r>
        <w:rPr>
          <w:rtl w:val="0"/>
        </w:rPr>
        <w:t xml:space="preserve">điểm b khoản </w:t>
      </w:r>
      <w:bookmarkEnd w:id="4"/>
      <w:r>
        <w:rPr>
          <w:rtl w:val="0"/>
        </w:rPr>
        <w:t>1</w:t>
      </w:r>
      <w:r>
        <w:rPr>
          <w:rtl w:val="0"/>
        </w:rPr>
        <w:t xml:space="preserve"> Điều 41 Thông tư số 80/2021/TT-BTC</w:t>
      </w:r>
      <w:r>
        <w:rPr>
          <w:rtl w:val="0"/>
        </w:rPr>
        <w:t xml:space="preserve"> để thực hiện theo quy định và th</w:t>
      </w:r>
      <w:r>
        <w:rPr>
          <w:rtl w:val="0"/>
        </w:rPr>
        <w:t>ẩ</w:t>
      </w:r>
      <w:r>
        <w:rPr>
          <w:rtl w:val="0"/>
        </w:rPr>
        <w:t>m quy</w:t>
      </w:r>
      <w:r>
        <w:rPr>
          <w:rtl w:val="0"/>
        </w:rPr>
        <w:t>ề</w:t>
      </w:r>
      <w:r>
        <w:rPr>
          <w:rtl w:val="0"/>
        </w:rPr>
        <w:t>n.</w:t>
      </w:r>
    </w:p>
    <w:p>
      <w:pPr>
        <w:bidi w:val="0"/>
        <w:spacing w:before="120" w:beforeAutospacing="0" w:after="280" w:afterAutospacing="1"/>
      </w:pPr>
      <w:r>
        <w:rPr>
          <w:rtl w:val="0"/>
        </w:rPr>
        <w:t>Cục Thuế thông báo để Thuế tỉnh</w:t>
      </w:r>
      <w:r>
        <w:rPr>
          <w:rtl w:val="0"/>
        </w:rPr>
        <w:t xml:space="preserve"> </w:t>
      </w:r>
      <w:r>
        <w:rPr>
          <w:rtl w:val="0"/>
        </w:rPr>
        <w:t xml:space="preserve">Quảng Ngãi được biết và thực hiện./. </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461"/>
        <w:gridCol w:w="5179"/>
      </w:tblGrid>
      <w:tr>
        <w:tblPrEx>
          <w:tblW w:w="5000" w:type="pct"/>
          <w:jc w:val="left"/>
          <w:tblCellMar>
            <w:top w:w="0" w:type="dxa"/>
            <w:left w:w="0" w:type="dxa"/>
            <w:bottom w:w="0" w:type="dxa"/>
            <w:right w:w="0" w:type="dxa"/>
          </w:tblCellMar>
        </w:tblPrEx>
        <w:trPr>
          <w:jc w:val="left"/>
        </w:trPr>
        <w:tc>
          <w:tcPr>
            <w:tcW w:w="2003" w:type="pct"/>
            <w:shd w:val="clear" w:color="auto" w:fill="auto"/>
            <w:tcMar>
              <w:top w:w="0" w:type="dxa"/>
              <w:left w:w="108" w:type="dxa"/>
              <w:bottom w:w="0" w:type="dxa"/>
              <w:right w:w="108" w:type="dxa"/>
            </w:tcMar>
          </w:tcPr>
          <w:p>
            <w:pPr>
              <w:bidi w:val="0"/>
              <w:spacing w:before="120" w:beforeAutospacing="0" w:after="280" w:afterAutospacing="1"/>
            </w:pPr>
            <w:r>
              <w:rPr>
                <w:rtl w:val="0"/>
              </w:rPr>
              <w:t> </w:t>
            </w:r>
          </w:p>
          <w:p>
            <w:pPr>
              <w:bidi w:val="0"/>
              <w:spacing w:before="120" w:beforeAutospacing="0" w:after="0" w:afterAutospacing="0"/>
              <w:rPr>
                <w:rtl w:val="0"/>
              </w:rPr>
            </w:pPr>
            <w:r>
              <w:rPr>
                <w:b/>
                <w:bCs/>
                <w:i/>
                <w:iCs/>
                <w:rtl w:val="0"/>
              </w:rPr>
              <w:t>Nơi nhận:</w:t>
            </w:r>
            <w:r>
              <w:rPr>
                <w:b/>
                <w:bCs/>
                <w:i/>
                <w:iCs/>
                <w:rtl w:val="0"/>
              </w:rPr>
              <w:br/>
            </w:r>
            <w:r>
              <w:rPr>
                <w:rtl w:val="0"/>
              </w:rPr>
              <w:t xml:space="preserve">- </w:t>
            </w:r>
            <w:r>
              <w:rPr>
                <w:rtl w:val="0"/>
              </w:rPr>
              <w:t>Như trên;</w:t>
            </w:r>
            <w:r>
              <w:rPr>
                <w:rtl w:val="0"/>
              </w:rPr>
              <w:br/>
            </w:r>
            <w:bookmarkStart w:id="5" w:name="bookmark1"/>
            <w:bookmarkEnd w:id="5"/>
            <w:r>
              <w:rPr>
                <w:rtl w:val="0"/>
              </w:rPr>
              <w:t xml:space="preserve">- </w:t>
            </w:r>
            <w:r>
              <w:rPr>
                <w:rtl w:val="0"/>
              </w:rPr>
              <w:t>Phó CT Mai Sơn (để b/c);</w:t>
            </w:r>
            <w:r>
              <w:rPr>
                <w:rtl w:val="0"/>
              </w:rPr>
              <w:br/>
            </w:r>
            <w:bookmarkStart w:id="6" w:name="bookmark2"/>
            <w:bookmarkEnd w:id="6"/>
            <w:r>
              <w:rPr>
                <w:rtl w:val="0"/>
              </w:rPr>
              <w:t xml:space="preserve">- </w:t>
            </w:r>
            <w:r>
              <w:rPr>
                <w:rtl w:val="0"/>
              </w:rPr>
              <w:t>Ban CS, Ban PC,</w:t>
            </w:r>
            <w:r>
              <w:rPr>
                <w:rtl w:val="0"/>
              </w:rPr>
              <w:br/>
            </w:r>
            <w:r>
              <w:rPr>
                <w:rtl w:val="0"/>
              </w:rPr>
              <w:t>Ban KTr, Chi cục Thuế DNL;</w:t>
            </w:r>
            <w:r>
              <w:rPr>
                <w:rtl w:val="0"/>
              </w:rPr>
              <w:br/>
            </w:r>
            <w:bookmarkStart w:id="7" w:name="bookmark3"/>
            <w:bookmarkEnd w:id="7"/>
            <w:r>
              <w:rPr>
                <w:rtl w:val="0"/>
              </w:rPr>
              <w:t xml:space="preserve">- </w:t>
            </w:r>
            <w:r>
              <w:rPr>
                <w:rtl w:val="0"/>
              </w:rPr>
              <w:t>Thuế TP Đà N</w:t>
            </w:r>
            <w:r>
              <w:rPr>
                <w:rtl w:val="0"/>
              </w:rPr>
              <w:t>ẵ</w:t>
            </w:r>
            <w:r>
              <w:rPr>
                <w:rtl w:val="0"/>
              </w:rPr>
              <w:t>ng (để p/hợp);</w:t>
            </w:r>
            <w:r>
              <w:rPr>
                <w:rtl w:val="0"/>
              </w:rPr>
              <w:br/>
            </w:r>
            <w:bookmarkStart w:id="8" w:name="bookmark4"/>
            <w:bookmarkEnd w:id="8"/>
            <w:r>
              <w:rPr>
                <w:rtl w:val="0"/>
              </w:rPr>
              <w:t xml:space="preserve">- </w:t>
            </w:r>
            <w:r>
              <w:rPr>
                <w:rtl w:val="0"/>
              </w:rPr>
              <w:t>Website CT;</w:t>
            </w:r>
            <w:r>
              <w:rPr>
                <w:rtl w:val="0"/>
              </w:rPr>
              <w:br/>
            </w:r>
            <w:r>
              <w:rPr>
                <w:rtl w:val="0"/>
              </w:rPr>
              <w:t>-</w:t>
            </w:r>
            <w:r>
              <w:rPr>
                <w:rtl w:val="0"/>
              </w:rPr>
              <w:t xml:space="preserve"> </w:t>
            </w:r>
            <w:r>
              <w:rPr>
                <w:rtl w:val="0"/>
              </w:rPr>
              <w:t>Lưu: VT, NVT</w:t>
            </w:r>
            <w:r>
              <w:rPr>
                <w:rtl w:val="0"/>
              </w:rPr>
              <w:t xml:space="preserve"> </w:t>
            </w:r>
            <w:r>
              <w:rPr>
                <w:rtl w:val="0"/>
              </w:rPr>
              <w:t>(2b)</w:t>
            </w:r>
            <w:r>
              <w:rPr>
                <w:rtl w:val="0"/>
              </w:rPr>
              <w:t>.</w:t>
            </w:r>
          </w:p>
        </w:tc>
        <w:tc>
          <w:tcPr>
            <w:tcW w:w="2997"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TL. CỤC TRƯỞNG</w:t>
            </w:r>
            <w:r>
              <w:rPr>
                <w:b/>
                <w:bCs/>
                <w:rtl w:val="0"/>
              </w:rPr>
              <w:br/>
            </w:r>
            <w:r>
              <w:rPr>
                <w:b/>
                <w:bCs/>
                <w:rtl w:val="0"/>
              </w:rPr>
              <w:t>TRƯỞNG BAN BAN NGHIỆP VỤ THUẾ</w:t>
            </w:r>
            <w:r>
              <w:rPr>
                <w:b/>
                <w:bCs/>
                <w:rtl w:val="0"/>
              </w:rPr>
              <w:br/>
            </w:r>
            <w:r>
              <w:rPr>
                <w:b/>
                <w:bCs/>
                <w:rtl w:val="0"/>
              </w:rPr>
              <w:br/>
            </w:r>
            <w:r>
              <w:rPr>
                <w:b/>
                <w:bCs/>
                <w:rtl w:val="0"/>
              </w:rPr>
              <w:br/>
            </w:r>
            <w:r>
              <w:rPr>
                <w:b/>
                <w:bCs/>
                <w:rtl w:val="0"/>
              </w:rPr>
              <w:br/>
            </w:r>
            <w:r>
              <w:rPr>
                <w:b/>
                <w:bCs/>
                <w:rtl w:val="0"/>
              </w:rPr>
              <w:br/>
            </w:r>
            <w:r>
              <w:rPr>
                <w:b/>
                <w:bCs/>
                <w:rtl w:val="0"/>
              </w:rPr>
              <w:t>Nguyễn Thị Thu</w:t>
            </w:r>
          </w:p>
        </w:tc>
      </w:tr>
    </w:tbl>
    <w:p>
      <w:pPr>
        <w:bidi w:val="0"/>
        <w:spacing w:after="280" w:afterAutospacing="1"/>
      </w:pPr>
      <w:bookmarkStart w:id="9" w:name="_GoBack"/>
      <w:bookmarkEnd w:id="9"/>
      <w:bookmarkStart w:id="10" w:name="bookmark0"/>
      <w:bookmarkEnd w:id="10"/>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