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BỘ TÀI CHÍNH</w:t>
            </w:r>
            <w:r>
              <w:rPr>
                <w:b/>
                <w:bCs/>
                <w:rtl w:val="0"/>
              </w:rPr>
              <w:br/>
            </w:r>
            <w:r>
              <w:rPr>
                <w:b/>
                <w:bCs/>
                <w:rtl w:val="0"/>
              </w:rPr>
              <w:t>CỤC THUẾ</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Số: 4063/CT-CS</w:t>
            </w:r>
            <w:r>
              <w:rPr>
                <w:rtl w:val="0"/>
              </w:rPr>
              <w:br/>
            </w:r>
            <w:r>
              <w:rPr>
                <w:i/>
                <w:iCs/>
                <w:sz w:val="16"/>
                <w:rtl w:val="0"/>
              </w:rPr>
              <w:t>V/v Chính sách thuế TNCN</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18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Kính gửi:</w:t>
      </w:r>
      <w:r>
        <w:rPr>
          <w:rtl w:val="0"/>
        </w:rPr>
        <w:t xml:space="preserve"> Thuế tỉnh Thanh Hóa</w:t>
      </w:r>
    </w:p>
    <w:p>
      <w:pPr>
        <w:bidi w:val="0"/>
        <w:spacing w:before="120" w:beforeAutospacing="0" w:after="280" w:afterAutospacing="1"/>
      </w:pPr>
      <w:r>
        <w:rPr>
          <w:rtl w:val="0"/>
        </w:rPr>
        <w:t>Trả lời công văn số 462/THO-QLDN2 ngày 20/01/2026 của Thuế tỉnh Thanh Hóa về chính sách thuế TNCN đối với hoạt động chuyển nhượng cổ phần của cá nhân tại công ty cổ phần giày Hiệp Hồng, Cục Thuế có ý kiến như sau:</w:t>
      </w:r>
    </w:p>
    <w:p>
      <w:pPr>
        <w:bidi w:val="0"/>
        <w:spacing w:before="120" w:beforeAutospacing="0" w:after="280" w:afterAutospacing="1"/>
      </w:pPr>
      <w:r>
        <w:rPr>
          <w:rtl w:val="0"/>
        </w:rPr>
        <w:t xml:space="preserve">Căn cứ quy định tại </w:t>
      </w:r>
      <w:bookmarkStart w:id="0" w:name="dc_1"/>
      <w:r>
        <w:rPr>
          <w:rtl w:val="0"/>
        </w:rPr>
        <w:t>Khoản 1, Khoản 2 Điều 4 Luật chứng khoán số 54/2019/QH14</w:t>
      </w:r>
      <w:bookmarkEnd w:id="0"/>
      <w:r>
        <w:rPr>
          <w:rtl w:val="0"/>
        </w:rPr>
        <w:t xml:space="preserve"> ngày 26/11/2019;</w:t>
      </w:r>
    </w:p>
    <w:p>
      <w:pPr>
        <w:bidi w:val="0"/>
        <w:spacing w:before="120" w:beforeAutospacing="0" w:after="280" w:afterAutospacing="1"/>
      </w:pPr>
      <w:r>
        <w:rPr>
          <w:rtl w:val="0"/>
        </w:rPr>
        <w:t xml:space="preserve">Căn cứ quy định tại </w:t>
      </w:r>
      <w:bookmarkStart w:id="1" w:name="dc_2"/>
      <w:r>
        <w:rPr>
          <w:rtl w:val="0"/>
        </w:rPr>
        <w:t>Điều 121, Khoản 3 Điều 120 và Điều 127 Luật doanh nghiệp số 59/2020/QH14</w:t>
      </w:r>
      <w:bookmarkEnd w:id="1"/>
      <w:r>
        <w:rPr>
          <w:rtl w:val="0"/>
        </w:rPr>
        <w:t xml:space="preserve"> ngày 17/6/2020;</w:t>
      </w:r>
    </w:p>
    <w:p>
      <w:pPr>
        <w:bidi w:val="0"/>
        <w:spacing w:before="120" w:beforeAutospacing="0" w:after="280" w:afterAutospacing="1"/>
      </w:pPr>
      <w:r>
        <w:rPr>
          <w:rtl w:val="0"/>
        </w:rPr>
        <w:t xml:space="preserve">Căn cứ quy định tại </w:t>
      </w:r>
      <w:bookmarkStart w:id="2" w:name="dc_3"/>
      <w:r>
        <w:rPr>
          <w:rtl w:val="0"/>
        </w:rPr>
        <w:t>Khoản 4 Điều 2 Thông tư số 111/2013/TT-BTC</w:t>
      </w:r>
      <w:bookmarkEnd w:id="2"/>
      <w:r>
        <w:rPr>
          <w:rtl w:val="0"/>
        </w:rPr>
        <w:t xml:space="preserve"> ngày 15/8/2013 (sửa đổi, bổ sung tại </w:t>
      </w:r>
      <w:bookmarkStart w:id="3" w:name="dc_4"/>
      <w:r>
        <w:rPr>
          <w:rtl w:val="0"/>
        </w:rPr>
        <w:t>Điều 4 Thông tư số 25/2018/TT-BTC</w:t>
      </w:r>
      <w:bookmarkEnd w:id="3"/>
      <w:r>
        <w:rPr>
          <w:rtl w:val="0"/>
        </w:rPr>
        <w:t xml:space="preserve"> ngày 16/3/2018 của Bộ Tài chính);</w:t>
      </w:r>
    </w:p>
    <w:p>
      <w:pPr>
        <w:bidi w:val="0"/>
        <w:spacing w:before="120" w:beforeAutospacing="0" w:after="280" w:afterAutospacing="1"/>
      </w:pPr>
      <w:r>
        <w:rPr>
          <w:rtl w:val="0"/>
        </w:rPr>
        <w:t xml:space="preserve">Căn cứ quy định tại </w:t>
      </w:r>
      <w:bookmarkStart w:id="4" w:name="dc_5"/>
      <w:r>
        <w:rPr>
          <w:rtl w:val="0"/>
        </w:rPr>
        <w:t>Điều 11 Thông tư số 111/2013/TT-BTC</w:t>
      </w:r>
      <w:bookmarkEnd w:id="4"/>
      <w:r>
        <w:rPr>
          <w:rtl w:val="0"/>
        </w:rPr>
        <w:t xml:space="preserve"> ngày 15/8/2013 (sửa đổi, bổ sung tại </w:t>
      </w:r>
      <w:bookmarkStart w:id="5" w:name="dc_6"/>
      <w:r>
        <w:rPr>
          <w:rtl w:val="0"/>
        </w:rPr>
        <w:t>Điều 16 Thông tư số 92/2015/TT-BTC</w:t>
      </w:r>
      <w:bookmarkEnd w:id="5"/>
      <w:r>
        <w:rPr>
          <w:rtl w:val="0"/>
        </w:rPr>
        <w:t xml:space="preserve"> ngày 15/6/2015 của Bộ Tài chính);</w:t>
      </w:r>
    </w:p>
    <w:p>
      <w:pPr>
        <w:bidi w:val="0"/>
        <w:spacing w:before="120" w:beforeAutospacing="0" w:after="280" w:afterAutospacing="1"/>
      </w:pPr>
      <w:r>
        <w:rPr>
          <w:rtl w:val="0"/>
        </w:rPr>
        <w:t xml:space="preserve">Căn cứ quy định tại </w:t>
      </w:r>
      <w:bookmarkStart w:id="6" w:name="dc_7"/>
      <w:r>
        <w:rPr>
          <w:rtl w:val="0"/>
        </w:rPr>
        <w:t>Khoản 5 Điều 26 Thông tư số 111/2013/TT-BTC</w:t>
      </w:r>
      <w:bookmarkEnd w:id="6"/>
      <w:r>
        <w:rPr>
          <w:rtl w:val="0"/>
        </w:rPr>
        <w:t xml:space="preserve"> và </w:t>
      </w:r>
      <w:bookmarkStart w:id="7" w:name="dc_8"/>
      <w:r>
        <w:rPr>
          <w:rtl w:val="0"/>
        </w:rPr>
        <w:t>điểm a Khoản 6 Điều 21 Thông tư số 92/2015/TT-BTC</w:t>
      </w:r>
      <w:bookmarkEnd w:id="7"/>
      <w:r>
        <w:rPr>
          <w:rtl w:val="0"/>
        </w:rPr>
        <w:t xml:space="preserve"> của Bộ Tài chính.</w:t>
      </w:r>
    </w:p>
    <w:p>
      <w:pPr>
        <w:bidi w:val="0"/>
        <w:spacing w:before="120" w:beforeAutospacing="0" w:after="280" w:afterAutospacing="1"/>
      </w:pPr>
      <w:r>
        <w:rPr>
          <w:rtl w:val="0"/>
        </w:rPr>
        <w:t xml:space="preserve">Căn cứ các quy định nêu trên, trường hợp các cá nhân nhận thu nhập từ chuyển nhượng cổ phiếu trong công ty cổ phần theo quy định tại </w:t>
      </w:r>
      <w:bookmarkStart w:id="8" w:name="dc_9"/>
      <w:r>
        <w:rPr>
          <w:rtl w:val="0"/>
        </w:rPr>
        <w:t>Khoản 2 Điều 4 Luật chứng khoán số 54/2019/QH14</w:t>
      </w:r>
      <w:bookmarkEnd w:id="8"/>
      <w:r>
        <w:rPr>
          <w:rtl w:val="0"/>
        </w:rPr>
        <w:t xml:space="preserve"> và </w:t>
      </w:r>
      <w:bookmarkStart w:id="9" w:name="dc_10"/>
      <w:r>
        <w:rPr>
          <w:rtl w:val="0"/>
        </w:rPr>
        <w:t>Điều 121 Luật doanh nghiệp số 59/2020/QH14</w:t>
      </w:r>
      <w:bookmarkEnd w:id="9"/>
      <w:r>
        <w:rPr>
          <w:rtl w:val="0"/>
        </w:rPr>
        <w:t xml:space="preserve"> thì thu nhập từ hoạt động này được xác định là thu nhập từ chuyển nhượng chứng khoán. Trường hợp cá nhân có thu nhập từ chuyển nhượng vốn dưới các hình thức khác thì thu nhập từ hoạt động này được xác định là thu nhập từ hoạt động chuyển nhượng vốn.</w:t>
      </w:r>
    </w:p>
    <w:p>
      <w:pPr>
        <w:bidi w:val="0"/>
        <w:spacing w:before="120" w:beforeAutospacing="0" w:after="280" w:afterAutospacing="1"/>
      </w:pPr>
      <w:r>
        <w:rPr>
          <w:rtl w:val="0"/>
        </w:rPr>
        <w:t>Đề nghị Thuế tỉnh Thanh Hóa căn cứ quy định của pháp luật về chính sách thuế TNCN, pháp luật chuyên ngành có liên quan và tình hình thực tế việc chuyển nhượng cổ phần của các cá nhân trong công ty cổ phần giày Hiệp Hồng để hướng dẫn người nộp thuế kê khai và nộp thuế đúng quy định</w:t>
      </w:r>
    </w:p>
    <w:p>
      <w:pPr>
        <w:bidi w:val="0"/>
        <w:spacing w:before="120" w:beforeAutospacing="0" w:after="280" w:afterAutospacing="1"/>
      </w:pPr>
      <w:r>
        <w:rPr>
          <w:rtl w:val="0"/>
        </w:rPr>
        <w:t>Cục Thuế thông báo để Thuế tỉnh Thanh Hóa được biết./.</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trên;</w:t>
            </w:r>
            <w:r>
              <w:rPr>
                <w:sz w:val="16"/>
                <w:rtl w:val="0"/>
              </w:rPr>
              <w:br/>
            </w:r>
            <w:r>
              <w:rPr>
                <w:sz w:val="16"/>
                <w:rtl w:val="0"/>
              </w:rPr>
              <w:t>- PCTrg Đặng Ngọc Minh (để b/c);</w:t>
            </w:r>
            <w:r>
              <w:rPr>
                <w:sz w:val="16"/>
                <w:rtl w:val="0"/>
              </w:rPr>
              <w:br/>
            </w:r>
            <w:r>
              <w:rPr>
                <w:sz w:val="16"/>
                <w:rtl w:val="0"/>
              </w:rPr>
              <w:t>- Ban PC;</w:t>
            </w:r>
            <w:r>
              <w:rPr>
                <w:sz w:val="16"/>
                <w:rtl w:val="0"/>
              </w:rPr>
              <w:br/>
            </w:r>
            <w:r>
              <w:rPr>
                <w:sz w:val="16"/>
                <w:rtl w:val="0"/>
              </w:rPr>
              <w:t>- Website CT;</w:t>
            </w:r>
            <w:r>
              <w:rPr>
                <w:sz w:val="16"/>
                <w:rtl w:val="0"/>
              </w:rPr>
              <w:br/>
            </w:r>
            <w:r>
              <w:rPr>
                <w:sz w:val="16"/>
                <w:rtl w:val="0"/>
              </w:rPr>
              <w:t>- Lưu: VT, CS (2b).</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TL. CỤC TRƯỞNG</w:t>
            </w:r>
            <w:r>
              <w:rPr>
                <w:b/>
                <w:bCs/>
                <w:rtl w:val="0"/>
              </w:rPr>
              <w:br/>
            </w:r>
            <w:r>
              <w:rPr>
                <w:b/>
                <w:bCs/>
                <w:rtl w:val="0"/>
              </w:rPr>
              <w:t>KT. TRƯỞNG BAN BAN CHÍNH SÁCH,</w:t>
            </w:r>
            <w:r>
              <w:rPr>
                <w:b/>
                <w:bCs/>
                <w:rtl w:val="0"/>
              </w:rPr>
              <w:br/>
            </w:r>
            <w:r>
              <w:rPr>
                <w:b/>
                <w:bCs/>
                <w:rtl w:val="0"/>
              </w:rPr>
              <w:t>THUẾ QUỐC TẾ</w:t>
            </w:r>
            <w:r>
              <w:rPr>
                <w:b/>
                <w:bCs/>
                <w:rtl w:val="0"/>
              </w:rPr>
              <w:br/>
            </w:r>
            <w:r>
              <w:rPr>
                <w:b/>
                <w:bCs/>
                <w:rtl w:val="0"/>
              </w:rPr>
              <w:t>PHÓ TRƯỞNG BAN</w:t>
            </w:r>
            <w:r>
              <w:rPr>
                <w:b/>
                <w:bCs/>
                <w:rtl w:val="0"/>
              </w:rPr>
              <w:br/>
            </w:r>
            <w:r>
              <w:rPr>
                <w:b/>
                <w:bCs/>
                <w:rtl w:val="0"/>
              </w:rPr>
              <w:br/>
            </w:r>
            <w:r>
              <w:rPr>
                <w:b/>
                <w:bCs/>
                <w:rtl w:val="0"/>
              </w:rPr>
              <w:br/>
            </w:r>
            <w:r>
              <w:rPr>
                <w:b/>
                <w:bCs/>
                <w:rtl w:val="0"/>
              </w:rPr>
              <w:br/>
            </w:r>
            <w:r>
              <w:rPr>
                <w:b/>
                <w:bCs/>
                <w:rtl w:val="0"/>
              </w:rPr>
              <w:br/>
            </w:r>
            <w:r>
              <w:rPr>
                <w:b/>
                <w:bCs/>
                <w:rtl w:val="0"/>
              </w:rPr>
              <w:t>Mạnh Thị Tuyết Mai</w:t>
            </w:r>
          </w:p>
        </w:tc>
      </w:tr>
    </w:tbl>
    <w:p>
      <w:pPr>
        <w:bidi w:val="0"/>
        <w:spacing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