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168"/>
        <w:gridCol w:w="484"/>
        <w:gridCol w:w="5096"/>
      </w:tblGrid>
      <w:tr w:rsidR="0079467D" w:rsidRPr="00063206" w:rsidTr="00554054">
        <w:trPr>
          <w:trHeight w:val="1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7D" w:rsidRPr="00063206" w:rsidRDefault="0079467D" w:rsidP="00554054">
            <w:pPr>
              <w:spacing w:before="120"/>
              <w:jc w:val="center"/>
              <w:rPr>
                <w:sz w:val="24"/>
                <w:szCs w:val="24"/>
              </w:rPr>
            </w:pPr>
            <w:r w:rsidRPr="00063206">
              <w:rPr>
                <w:sz w:val="24"/>
                <w:szCs w:val="24"/>
              </w:rPr>
              <w:t>BỘ TÀI CHÍNH</w:t>
            </w:r>
            <w:r w:rsidRPr="00063206">
              <w:rPr>
                <w:b/>
                <w:bCs/>
                <w:sz w:val="24"/>
                <w:szCs w:val="24"/>
              </w:rPr>
              <w:br/>
              <w:t>TỔNG CỤC THUẾ</w:t>
            </w:r>
            <w:r w:rsidRPr="00063206">
              <w:rPr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7D" w:rsidRPr="00063206" w:rsidRDefault="0079467D" w:rsidP="00554054">
            <w:pPr>
              <w:spacing w:before="120"/>
              <w:jc w:val="center"/>
              <w:rPr>
                <w:sz w:val="24"/>
                <w:szCs w:val="24"/>
              </w:rPr>
            </w:pPr>
            <w:r w:rsidRPr="00063206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063206">
              <w:rPr>
                <w:b/>
                <w:bCs/>
                <w:sz w:val="24"/>
                <w:szCs w:val="24"/>
              </w:rPr>
              <w:br/>
              <w:t>Độc lập - Tự do - Hạnh phúc</w:t>
            </w:r>
            <w:r w:rsidRPr="00063206">
              <w:rPr>
                <w:b/>
                <w:bCs/>
                <w:sz w:val="24"/>
                <w:szCs w:val="24"/>
              </w:rPr>
              <w:br/>
              <w:t>------------------</w:t>
            </w:r>
          </w:p>
        </w:tc>
      </w:tr>
      <w:tr w:rsidR="0079467D" w:rsidRPr="00063206" w:rsidTr="005540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7D" w:rsidRPr="00063206" w:rsidRDefault="0079467D" w:rsidP="0079467D">
            <w:pPr>
              <w:spacing w:before="120"/>
              <w:rPr>
                <w:sz w:val="26"/>
                <w:szCs w:val="26"/>
              </w:rPr>
            </w:pPr>
            <w:r w:rsidRPr="00063206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>2</w:t>
            </w:r>
            <w:r w:rsidRPr="0006320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74</w:t>
            </w:r>
            <w:r w:rsidRPr="00063206">
              <w:rPr>
                <w:sz w:val="26"/>
                <w:szCs w:val="26"/>
              </w:rPr>
              <w:t>/TCT-</w:t>
            </w:r>
            <w:r>
              <w:rPr>
                <w:sz w:val="26"/>
                <w:szCs w:val="26"/>
              </w:rPr>
              <w:t>KK</w:t>
            </w:r>
            <w:r w:rsidRPr="00063206">
              <w:rPr>
                <w:sz w:val="26"/>
                <w:szCs w:val="26"/>
              </w:rPr>
              <w:br/>
            </w:r>
            <w:r w:rsidRPr="00063206">
              <w:rPr>
                <w:iCs/>
                <w:sz w:val="24"/>
                <w:szCs w:val="24"/>
              </w:rPr>
              <w:t xml:space="preserve">V/v: </w:t>
            </w:r>
            <w:r>
              <w:rPr>
                <w:iCs/>
                <w:sz w:val="24"/>
                <w:szCs w:val="24"/>
              </w:rPr>
              <w:t>trả lời kiến nghị của doanh nghiệp Việt Nam do Phòng Thương mại &amp; Công nghiệp VN (VCCI) phản ánh</w:t>
            </w:r>
            <w:r w:rsidRPr="00063206">
              <w:rPr>
                <w:rFonts w:eastAsia="Times New Roman"/>
                <w:sz w:val="26"/>
                <w:szCs w:val="26"/>
              </w:rPr>
              <w:t xml:space="preserve"> </w:t>
            </w:r>
            <w:r w:rsidRPr="0006320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7D" w:rsidRPr="00063206" w:rsidRDefault="0079467D" w:rsidP="0079467D">
            <w:pPr>
              <w:spacing w:before="120"/>
              <w:jc w:val="center"/>
              <w:rPr>
                <w:sz w:val="26"/>
                <w:szCs w:val="26"/>
              </w:rPr>
            </w:pPr>
            <w:r w:rsidRPr="00063206">
              <w:rPr>
                <w:i/>
                <w:iCs/>
                <w:sz w:val="26"/>
                <w:szCs w:val="26"/>
              </w:rPr>
              <w:t xml:space="preserve">Hà Nội, ngày  </w:t>
            </w:r>
            <w:r>
              <w:rPr>
                <w:i/>
                <w:iCs/>
                <w:sz w:val="26"/>
                <w:szCs w:val="26"/>
              </w:rPr>
              <w:t>21</w:t>
            </w:r>
            <w:r w:rsidRPr="00063206">
              <w:rPr>
                <w:i/>
                <w:iCs/>
                <w:sz w:val="26"/>
                <w:szCs w:val="26"/>
              </w:rPr>
              <w:t xml:space="preserve">  tháng  0</w:t>
            </w:r>
            <w:r>
              <w:rPr>
                <w:i/>
                <w:iCs/>
                <w:sz w:val="26"/>
                <w:szCs w:val="26"/>
              </w:rPr>
              <w:t>6</w:t>
            </w:r>
            <w:r w:rsidRPr="00063206">
              <w:rPr>
                <w:i/>
                <w:iCs/>
                <w:sz w:val="26"/>
                <w:szCs w:val="26"/>
              </w:rPr>
              <w:t xml:space="preserve">  năm 2018</w:t>
            </w:r>
          </w:p>
        </w:tc>
      </w:tr>
    </w:tbl>
    <w:p w:rsidR="0079467D" w:rsidRDefault="0079467D" w:rsidP="007A33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olor w:val="000000" w:themeColor="text1"/>
          <w:sz w:val="26"/>
          <w:szCs w:val="26"/>
        </w:rPr>
      </w:pPr>
    </w:p>
    <w:p w:rsidR="007A334E" w:rsidRDefault="007A334E" w:rsidP="007A33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olor w:val="000000" w:themeColor="text1"/>
          <w:sz w:val="26"/>
          <w:szCs w:val="26"/>
        </w:rPr>
      </w:pPr>
      <w:r w:rsidRPr="007A334E">
        <w:rPr>
          <w:rFonts w:eastAsiaTheme="minorEastAsia"/>
          <w:color w:val="000000" w:themeColor="text1"/>
          <w:sz w:val="26"/>
          <w:szCs w:val="26"/>
        </w:rPr>
        <w:t>Kính gửi: Phòng Thương mại và Công nghiệp Việt Nam (VCCI)</w:t>
      </w:r>
    </w:p>
    <w:p w:rsidR="007A334E" w:rsidRPr="007A334E" w:rsidRDefault="007A334E" w:rsidP="007A334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7A334E" w:rsidRPr="007A334E" w:rsidRDefault="007A334E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Pr="007A334E">
        <w:rPr>
          <w:rFonts w:eastAsiaTheme="minorEastAsia"/>
          <w:color w:val="000000" w:themeColor="text1"/>
          <w:sz w:val="26"/>
          <w:szCs w:val="26"/>
        </w:rPr>
        <w:t>Tổng cục Thuế xin trả lời phản ánh, kiến nghị của doanh nghiệp do Phòng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7A334E">
        <w:rPr>
          <w:rFonts w:eastAsiaTheme="minorEastAsia"/>
          <w:color w:val="000000" w:themeColor="text1"/>
          <w:sz w:val="26"/>
          <w:szCs w:val="26"/>
        </w:rPr>
        <w:t>Thương mại &amp; Công nghiệp Việt Nam (VCCI) tổng hợp, Văn phòng Chính phủ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7A334E">
        <w:rPr>
          <w:rFonts w:eastAsiaTheme="minorEastAsia"/>
          <w:color w:val="000000" w:themeColor="text1"/>
          <w:sz w:val="26"/>
          <w:szCs w:val="26"/>
        </w:rPr>
        <w:t>chuyển đến tại văn bản số 4765/VPCP-KSTT ngày 22/5/2018 như sau:</w:t>
      </w:r>
    </w:p>
    <w:p w:rsidR="007A334E" w:rsidRPr="007A334E" w:rsidRDefault="007A334E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b/>
          <w:color w:val="000000" w:themeColor="text1"/>
          <w:sz w:val="26"/>
          <w:szCs w:val="26"/>
          <w:u w:val="single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Pr="007A334E">
        <w:rPr>
          <w:rFonts w:eastAsiaTheme="minorEastAsia"/>
          <w:b/>
          <w:color w:val="000000" w:themeColor="text1"/>
          <w:sz w:val="26"/>
          <w:szCs w:val="26"/>
          <w:u w:val="single"/>
        </w:rPr>
        <w:t>N</w:t>
      </w:r>
      <w:r w:rsidR="00716CAC">
        <w:rPr>
          <w:rFonts w:eastAsiaTheme="minorEastAsia"/>
          <w:b/>
          <w:color w:val="000000" w:themeColor="text1"/>
          <w:sz w:val="26"/>
          <w:szCs w:val="26"/>
          <w:u w:val="single"/>
        </w:rPr>
        <w:t>ộ</w:t>
      </w:r>
      <w:r w:rsidRPr="007A334E">
        <w:rPr>
          <w:rFonts w:eastAsiaTheme="minorEastAsia"/>
          <w:b/>
          <w:color w:val="000000" w:themeColor="text1"/>
          <w:sz w:val="26"/>
          <w:szCs w:val="26"/>
          <w:u w:val="single"/>
        </w:rPr>
        <w:t>i dung kiến ngh</w:t>
      </w:r>
      <w:r w:rsidRPr="00716CAC">
        <w:rPr>
          <w:rFonts w:eastAsiaTheme="minorEastAsia"/>
          <w:b/>
          <w:color w:val="000000" w:themeColor="text1"/>
          <w:sz w:val="26"/>
          <w:szCs w:val="26"/>
          <w:u w:val="single"/>
        </w:rPr>
        <w:t>ị</w:t>
      </w:r>
      <w:r w:rsidRPr="007A334E">
        <w:rPr>
          <w:rFonts w:eastAsiaTheme="minorEastAsia"/>
          <w:b/>
          <w:color w:val="000000" w:themeColor="text1"/>
          <w:sz w:val="26"/>
          <w:szCs w:val="26"/>
          <w:u w:val="single"/>
        </w:rPr>
        <w:t>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Hệ thống nộp báo cáo thuế qua mạng giữa cơ quan thuế và doanh nghiệp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không đồng bộ (DN gửi báo cáo thành công nhưng cơ quan thuế báo lỗi); phê duyệt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chứng từ online nhưng vẫn yêu cầu in và ký trên giấy.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b/>
          <w:color w:val="000000" w:themeColor="text1"/>
          <w:sz w:val="26"/>
          <w:szCs w:val="26"/>
          <w:u w:val="single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b/>
          <w:color w:val="000000" w:themeColor="text1"/>
          <w:sz w:val="26"/>
          <w:szCs w:val="26"/>
          <w:u w:val="single"/>
        </w:rPr>
        <w:t>Tổng cục Thuế xin trả lời: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1. Về khai thuế</w:t>
      </w:r>
      <w:r>
        <w:rPr>
          <w:rFonts w:eastAsiaTheme="minorEastAsia"/>
          <w:color w:val="000000" w:themeColor="text1"/>
          <w:sz w:val="26"/>
          <w:szCs w:val="26"/>
        </w:rPr>
        <w:t xml:space="preserve"> điệ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n tử (nộp báo cáo thuế qua mạng)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Theo quy định tại Điều 30 Luật Quản lý thuế số 78/2006/QH11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b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b/>
          <w:i/>
          <w:iCs/>
          <w:color w:val="000000" w:themeColor="text1"/>
          <w:sz w:val="26"/>
          <w:szCs w:val="26"/>
        </w:rPr>
        <w:t>"Điều 30. Nguyên tắc khai thuế và tính thuế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1. Người nộp thuế phải khai chính xác, trung thực, đầy đủ các nội dung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trong tờ khai thuế theo mẫu do Bộ Tài chính quy định và nộp đủ các loại chứng từ,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tài liệu quy định trong hồ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khai thuế với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>cơ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quan quản lý thuế.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2. Người nộp thuế tự tính số thuế phải nộp, trừ trường hợp việc tính thuế do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cơ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quan quản lý thuế thực hiện theo quy định của Chính phủ.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"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Căn cứ khoản 1, khoản 2 Điều 8 Thông tư số 110/2015/TT-BTC ngày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28/7/2015 của Bộ Tài chính hướng dẫn giao dịch điện tử trong lĩnh vực thuế: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b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b/>
          <w:i/>
          <w:iCs/>
          <w:color w:val="000000" w:themeColor="text1"/>
          <w:sz w:val="26"/>
          <w:szCs w:val="26"/>
        </w:rPr>
        <w:t>"Điều 8. Thời gian nộp hồ sơ thuế điện tử, nộp thuế điện tử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1. Người nộp thuế được thực hiện các giao dịch điện tử trong lĩnh vực thuế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24 giờ trong ngày và 7 ngày trong tuần, bao gồm cả ngày nghỉ, ngày lễ và ngày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Tết.</w:t>
      </w:r>
    </w:p>
    <w:p w:rsidR="00A44862" w:rsidRPr="00716CAC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2. Thời gian nộp hồ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thuế điện tử là thời điểm được ghi trên thông báo xác</w:t>
      </w: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nhận nộp hồ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thuế điện tử (theo mẫu số 01/TB-TĐT ban hành kèm theo Thông tư</w:t>
      </w: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này) của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cơ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quan thuế hoặc tổ chức cung cấp dịch vụ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T-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VAN (trường hợp sử dụng</w:t>
      </w: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dịch vụ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T-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VAN). Thông báo xác nhận nộp hồ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thuế điện tử là căn cứ để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cơ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quan</w:t>
      </w: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thuế tính thời gian nộp hồ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thuế theo quy định của Luật Quản lý thuế và xử lý</w:t>
      </w: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16CAC">
        <w:rPr>
          <w:rFonts w:eastAsiaTheme="minorEastAsia"/>
          <w:i/>
          <w:iCs/>
          <w:color w:val="000000" w:themeColor="text1"/>
          <w:sz w:val="26"/>
          <w:szCs w:val="26"/>
        </w:rPr>
        <w:t>hành vi chậm nộp, không nộp hồ sơ thuế của người nộp thuế.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lastRenderedPageBreak/>
        <w:tab/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Cơ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quan thuế hoặc tổ chức cung cấp dịch vụ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T-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VAN gửi thông báo xác nhận</w:t>
      </w: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nộp hồ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thuế điện tử hoặc lý do không nhận hồ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thuế điện tử đến người nộp</w:t>
      </w: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thuế qua Cổng thông tin điện tử của Tổng cục Thuế chậm nhất 15 phút sau khi</w:t>
      </w:r>
      <w:r w:rsidRPr="00716CAC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nhận được hồ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thuế điện tử của người nộp thuế...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>"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Căn cứ hướng dẫn tại công văn số 4289/TCT-KK ngày 20/9/2017 của Tổng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cục Thuế về việc triển khai thực hiện kiểm tra và trả thông báo 2 bước đối với hồ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sơ khai thu</w:t>
      </w:r>
      <w:r>
        <w:rPr>
          <w:rFonts w:eastAsiaTheme="minorEastAsia"/>
          <w:color w:val="000000" w:themeColor="text1"/>
          <w:sz w:val="26"/>
          <w:szCs w:val="26"/>
        </w:rPr>
        <w:t>ế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 điện tử: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Điểm 1.1 khoản 1: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"c) Việc tiếp nhận hồ sơ khai thuế điện tử được thực hiện tự động tại Cổng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thông tin điện tử của Tổng cục Thuế và thực hiện trả tự động 02 Thông báo cho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người nộp thuế (trả thông báo 2 bước), cụ thể: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Thông báo bước 1: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+ Là thông báo về việc cơ quan thuế "Tiếp nhận hồ sơ khai thuế điện tử"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của người nộp thuế;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+ Do Cổng thông tin điện tử của Tổng cục Thuế thực hiện, kiểm tra và trả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thông báo cho NNT gửi HSKT điện tử.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+ Thời gian trả thông báo bước 1: Chậm nhất 15 phút sau khi nhận được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HSKT điện tử của người nộp thuế.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+ Mẫu thông báo số 01-01/TB-TĐT .....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-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Thông báo bước 2: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+ Là thông báo về việc cơ quan thuế "Chấp nhận/không chấp nhận việc nộp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hồ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khai thuế điện tử" của người nộp thuế.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+ Thông báo do ứng dụng quản lý thuế tập trung (TMS) kiểm tra và trả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thông tin ra Cổng thông tin điện tử của Tổng cục Thuế để tạo thông báo và gửi cho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NNT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+ Thời gian trả thông báo bước 2: trong vòng 01 ngày làm việc kể từ ngày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Cổng thông tin điện tử của Tổng cục Thuế trả Thông báo bước 1.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 - Mẫu thông báo số 01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-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02/TB- TĐT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. . . . . "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- Điểm 1.2 khoản 1: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"...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ngày ghi nhận nghĩa vụ nộp HSKT của NNT là ngày trên Thông báo bước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1 lần đầu của HSKT điện tử tương ứng.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"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Căn cứ vào các quy định hướng dẫn nêu trên, trường hợp doanh nghiệp nộp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hồ sơ khai thuế điện tử, chậm nhất sau 15 phút, Cổng thông tin điện tử của Tổng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cục Thuế kiểm tra và trả thông báo "Tiếp nhận hồ sơ khai thuế điện tử" cho người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nộp thuế.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- Trường hợp tất cả các thông tin trên hồ sơ khai thuế điện tử là hợp lệ, đúng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nghĩa vụ kê khai và đầy đủ hồ sơ theo quy định của loại hồ sơ khai thuế. Cơ quan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thuế trong vòng 01 ngày làm việc kể từ ngày Cổng thông tin điện tử trả Thông báo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tiếp nhận hồ sơ khai thuế điện tử" sẽ gửi Thông báo "Chấp nhận việc nộp hồ sơ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khai thuế điện tử" của người nộp thuế.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lastRenderedPageBreak/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Trường hợp hồ sơ khai thuế điện tử của người nộp thuế còn sai sót, không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hợp lệ, không đúng nghĩa vụ kê khai, chưa đầy đủ hồ sơ theo quy định. Cơ quan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thuế trong vòng 01 ngày làm việc kể từ ngày Cổng thông tin điện tử trả Thông báo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"Tiếp nhận hồ sơ khai thuế điện tử" sẽ gửi Thông báo "Không chấp nhận việc nộp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hồ sơ khai thuế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điện tử" của người nộp thuế trong đó nêu rõ lý do, hướng dẫn xử lý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để người nộp thuế thực hiện điều chỉnh hồ sơ khai thuế. Ngày ghi nhận nghĩa vụ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nộp hồ sơ khai thuế của người nộp thuế là ngày trên Thông báo "Tiếp nhận hồ sơ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khai thuế điện tử"</w:t>
      </w:r>
      <w:r>
        <w:rPr>
          <w:rFonts w:eastAsiaTheme="minorEastAsia"/>
          <w:color w:val="000000" w:themeColor="text1"/>
          <w:sz w:val="26"/>
          <w:szCs w:val="26"/>
        </w:rPr>
        <w:t>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Như vậy, trường hợp người nộp thuế gửi hồ sơ khai thuế điện tử đúng và đủ,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hệ thống quản lý thuế của cơ quan thuế sẽ tự động tiếp nhận và chấp nhận hồ sơ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khai thuế của người nộp thuế và không báo lỗi. Trường hợp hồ sơ chưa đầy đủ,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đúng quy định, hệ thống quản lý thuế tự động trả thông báo không chấp nhận hồ sơ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khai thuế điện tử và nêu rõ lý do để người nộp thuế thực hiện điều chỉnh hồ sơ khai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thuế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Trường hợp người nộp thuế gặp lỗi trong quá trình sử dụng (ví dụ: doanh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nghiệp nộp báo cáo thành công nhưng cơ quan thuế báo lỗi), đề nghị liên hệ với các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kênh hỗ trợ của Tổng cục thuế (đã được thông báo trên Cổng thông tin điện tử)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hoặc Cơ quan thuế quản lý trực tiếp để được hỗ trợ xử lý.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2. Về Phê duyệt chứng từ online nhưng vẫn yêu cầu in và ký trên giấy: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Căn cứ khoản 2 Điều 3 Thông tư số 110/2015/TT-BTC ngày 28/7/2015 của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Bộ Tài chính hướng dẫn giao dịch điện tử trong lĩnh vực thuế: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"2.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Chứng từ điện tử trong lĩnh vực thuế là thông tin được tạo ra, gửi đi,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nhận và lưu trữ bằng phương thức điện tử để thực hiện các thủ tục đăng ký thuế,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khai thuế, nộp thuế, hoàn thuế và tra cứu thông tin của người nộp thuế, thông báo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của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cơ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quan thuế đối với người nộp thuế. Chứng từ điện tử có giá trị pháp lý như</w:t>
      </w:r>
      <w:r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chứng từ giấy.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"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- Tại điều 5 của Thông tư 110/2015/TT-BTC ngày 28/07/2015 hướng dẫn về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giao dịch điện tử trong lĩnh vực thuế có hướng dẫn: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"Điều 5. Điều kiện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thực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hiện giao dịch điện tử trong lĩnh vực thuế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Người nộp thuế thực hiện giao dịch điện tử trong lĩnh vực thuế phải đảm bảo</w:t>
      </w: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các điều kiện sau:</w:t>
      </w:r>
    </w:p>
    <w:p w:rsidR="007A334E" w:rsidRPr="00E22DC1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1. Có chứng thư số đang còn hiệu lực do tổ chức cung cấp dịch vụ chứng</w:t>
      </w: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thực cho ký số công cộng cấp hoặc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cơ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quan nhà nước có thâm quyền cấp, cơ quan</w:t>
      </w: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E22DC1">
        <w:rPr>
          <w:rFonts w:eastAsiaTheme="minorEastAsia"/>
          <w:i/>
          <w:iCs/>
          <w:color w:val="000000" w:themeColor="text1"/>
          <w:sz w:val="26"/>
          <w:szCs w:val="26"/>
        </w:rPr>
        <w:t>nhà nước có thẩm quyền công nhận, trừ một số trường hợp sau: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a) Người nộp thuế là cá nhân được sử dụng mã xác thực giao dịch điện tử</w:t>
      </w: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trong trường hợp chưa được cấp chứng thư số.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>"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Căn cứ vào quy định nêu trên, chúng từ điện tử có giá trị pháp lý như chứng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từ giấy. Đối với các tổ chức, doanh nghiệp đã sử dụng chữ ký số hiện đã thực hiện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nộp hồ sơ đăng ký thuế, khai thuế, hồ sơ quyết toán thuế, nộp thuế, hoàn thuế bằng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hình thức điện tử hoàn toàn.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Riêng về thuế TNCN: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Theo hướng dẫn tại điều 5 Thông tư số 110/2015/TT-BTC nêu trên, điều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kiện để thực hiện giao dịch điện tử trong lĩnh vực thuế là cá nhân phải có chữ ký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điện tử hoặc mã xác thực giao dịch điện tử. Tuy nhiên, trên hệ thống nhận tờ khai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của Cơ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lastRenderedPageBreak/>
        <w:t xml:space="preserve">quan thuế là các trang web </w:t>
      </w:r>
      <w:r w:rsidR="007A334E" w:rsidRPr="007A334E">
        <w:rPr>
          <w:rFonts w:eastAsiaTheme="minorEastAsia"/>
          <w:color w:val="000000" w:themeColor="text1"/>
          <w:sz w:val="26"/>
          <w:szCs w:val="26"/>
          <w:u w:val="single"/>
        </w:rPr>
        <w:t>http://nhantokhai.gdt.gov.vn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 và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E22DC1" w:rsidRPr="00E22DC1">
        <w:rPr>
          <w:rFonts w:eastAsiaTheme="minorEastAsia"/>
          <w:color w:val="000000" w:themeColor="text1"/>
          <w:sz w:val="26"/>
          <w:szCs w:val="26"/>
          <w:u w:val="single"/>
        </w:rPr>
        <w:t>http:</w:t>
      </w:r>
      <w:r w:rsidR="007A334E" w:rsidRPr="007A334E">
        <w:rPr>
          <w:rFonts w:eastAsiaTheme="minorEastAsia"/>
          <w:color w:val="000000" w:themeColor="text1"/>
          <w:sz w:val="26"/>
          <w:szCs w:val="26"/>
          <w:u w:val="single"/>
        </w:rPr>
        <w:t>//thuedientu.gdt.gov.vn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 xml:space="preserve"> còn nhiều đối tượng là cá nhân trực tiếp quyết toán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thuế TNCN chưa có chữ ký điện tử hoặc mã xác thực để đảm bảo thực hiện giao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dịch nộp hồ sơ quyết toán điện tử, do vậy các cá nhân này vẫn phải nộp hồ sơ giấy.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Tại điều 7 của Thông tư 110/2015/TT-BTC ngày 28/07/2015 hướng dẫn với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chứng từ điện tử: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"2.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Trường hợp hồ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sơ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thuế điện tử có các tài liệu kèm theo </w:t>
      </w:r>
      <w:r w:rsidR="007A334E" w:rsidRPr="007A334E">
        <w:rPr>
          <w:rFonts w:eastAsiaTheme="minorEastAsia"/>
          <w:i/>
          <w:color w:val="000000" w:themeColor="text1"/>
          <w:sz w:val="26"/>
          <w:szCs w:val="26"/>
        </w:rPr>
        <w:t xml:space="preserve">ở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dạng chứng từ</w:t>
      </w: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giấy phải được chuyển đổi sang dạng điện tử theo quy định tại Luật Giao dịch điện</w:t>
      </w:r>
      <w:r w:rsidRPr="00E22DC1">
        <w:rPr>
          <w:rFonts w:eastAsiaTheme="minorEastAsia"/>
          <w:i/>
          <w:iCs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 xml:space="preserve">tử và được gửi đến cổng thông tin điện tử của Tổng cục Thuế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"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Với hồ sơ quyết toán thuế TNCN không chỉ có tờ khai quyết toán thuế mà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còn bao gốm các hồ sơ, giấy tờ kèm theo. Hiện tại hệ thống CNTT chưa đáp ứng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được toàn bộ các hồ sơ kèm theo được chuyển sang dạng điện tử.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Trong thời gian tới Tổng cục Thuế sẽ tiếp tục hoàn thiện hệ thống công nghệ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thông tin đáp ứng việc thực hiện nộp hồ sơ quyết toán thuế TNCN bằng hình thức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điện tử tạo thuận lợi tối đa cho người nộp thuế.</w:t>
      </w:r>
    </w:p>
    <w:p w:rsidR="007A334E" w:rsidRPr="007A334E" w:rsidRDefault="00716CAC" w:rsidP="00716CA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Tổng cục Thuế xin trả lời để Phòng thương mại và công nghiệp Việt Nam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thông báo cho doanh nghiệp được biết.</w:t>
      </w:r>
    </w:p>
    <w:p w:rsidR="007A334E" w:rsidRDefault="00716CAC" w:rsidP="00716CAC">
      <w:pPr>
        <w:spacing w:before="120" w:after="120"/>
        <w:jc w:val="both"/>
        <w:rPr>
          <w:rFonts w:eastAsiaTheme="minorEastAsia"/>
          <w:i/>
          <w:iCs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ab/>
      </w:r>
      <w:r w:rsidR="007A334E" w:rsidRPr="007A334E">
        <w:rPr>
          <w:rFonts w:eastAsiaTheme="minorEastAsia"/>
          <w:color w:val="000000" w:themeColor="text1"/>
          <w:sz w:val="26"/>
          <w:szCs w:val="26"/>
        </w:rPr>
        <w:t>Xin trân trọng cảm ơn</w:t>
      </w:r>
      <w:r w:rsidR="007A334E" w:rsidRPr="007A334E">
        <w:rPr>
          <w:rFonts w:eastAsiaTheme="minorEastAsia"/>
          <w:i/>
          <w:iCs/>
          <w:color w:val="000000" w:themeColor="text1"/>
          <w:sz w:val="26"/>
          <w:szCs w:val="26"/>
        </w:rPr>
        <w:t>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9467D" w:rsidRPr="00063206" w:rsidTr="0055405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7D" w:rsidRDefault="0079467D" w:rsidP="00554054">
            <w:pPr>
              <w:spacing w:after="0"/>
              <w:rPr>
                <w:sz w:val="24"/>
                <w:szCs w:val="24"/>
              </w:rPr>
            </w:pPr>
            <w:r w:rsidRPr="00063206">
              <w:rPr>
                <w:b/>
                <w:bCs/>
                <w:i/>
                <w:iCs/>
                <w:sz w:val="24"/>
                <w:szCs w:val="24"/>
              </w:rPr>
              <w:br/>
              <w:t>Nơi nhận:</w:t>
            </w:r>
            <w:r w:rsidRPr="00063206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063206">
              <w:rPr>
                <w:sz w:val="24"/>
                <w:szCs w:val="24"/>
              </w:rPr>
              <w:t>- Như trên;</w:t>
            </w:r>
            <w:r>
              <w:rPr>
                <w:sz w:val="24"/>
                <w:szCs w:val="24"/>
              </w:rPr>
              <w:br/>
              <w:t>- Văn phòng Chính phủ (Vụ I) (để b/c);</w:t>
            </w:r>
            <w:r>
              <w:rPr>
                <w:sz w:val="24"/>
                <w:szCs w:val="24"/>
              </w:rPr>
              <w:br/>
              <w:t>- Văn phòng Bộ;</w:t>
            </w:r>
          </w:p>
          <w:p w:rsidR="0079467D" w:rsidRPr="00063206" w:rsidRDefault="0079467D" w:rsidP="00554054">
            <w:pPr>
              <w:spacing w:after="0"/>
              <w:rPr>
                <w:sz w:val="24"/>
                <w:szCs w:val="24"/>
              </w:rPr>
            </w:pPr>
            <w:r w:rsidRPr="00063206">
              <w:rPr>
                <w:sz w:val="24"/>
                <w:szCs w:val="24"/>
              </w:rPr>
              <w:t>- Vụ C</w:t>
            </w:r>
            <w:r>
              <w:rPr>
                <w:sz w:val="24"/>
                <w:szCs w:val="24"/>
              </w:rPr>
              <w:t>ST</w:t>
            </w:r>
            <w:r w:rsidRPr="00063206">
              <w:rPr>
                <w:sz w:val="24"/>
                <w:szCs w:val="24"/>
              </w:rPr>
              <w:t xml:space="preserve"> (BTC);</w:t>
            </w:r>
          </w:p>
          <w:p w:rsidR="0079467D" w:rsidRDefault="0079467D" w:rsidP="00554054">
            <w:pPr>
              <w:spacing w:after="0"/>
              <w:rPr>
                <w:sz w:val="24"/>
                <w:szCs w:val="24"/>
              </w:rPr>
            </w:pPr>
            <w:r w:rsidRPr="00063206">
              <w:rPr>
                <w:sz w:val="24"/>
                <w:szCs w:val="24"/>
              </w:rPr>
              <w:t xml:space="preserve">- Vụ </w:t>
            </w:r>
            <w:r>
              <w:rPr>
                <w:sz w:val="24"/>
                <w:szCs w:val="24"/>
              </w:rPr>
              <w:t>TNCN, Cục CNTT</w:t>
            </w:r>
            <w:r w:rsidRPr="00063206">
              <w:rPr>
                <w:sz w:val="24"/>
                <w:szCs w:val="24"/>
              </w:rPr>
              <w:t xml:space="preserve"> (TCT);</w:t>
            </w:r>
          </w:p>
          <w:p w:rsidR="0079467D" w:rsidRPr="00063206" w:rsidRDefault="0079467D" w:rsidP="0079467D">
            <w:pPr>
              <w:spacing w:after="0"/>
              <w:rPr>
                <w:sz w:val="24"/>
                <w:szCs w:val="24"/>
              </w:rPr>
            </w:pPr>
            <w:r w:rsidRPr="00063206">
              <w:rPr>
                <w:sz w:val="24"/>
                <w:szCs w:val="24"/>
              </w:rPr>
              <w:t xml:space="preserve">- Lưu: VT, </w:t>
            </w:r>
            <w:r>
              <w:rPr>
                <w:sz w:val="24"/>
                <w:szCs w:val="24"/>
              </w:rPr>
              <w:t>KK</w:t>
            </w:r>
            <w:r w:rsidRPr="00063206">
              <w:rPr>
                <w:sz w:val="24"/>
                <w:szCs w:val="24"/>
              </w:rPr>
              <w:t>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7D" w:rsidRPr="00063206" w:rsidRDefault="0079467D" w:rsidP="00554054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  <w:r w:rsidRPr="00063206">
              <w:rPr>
                <w:b/>
                <w:bCs/>
                <w:sz w:val="26"/>
                <w:szCs w:val="26"/>
              </w:rPr>
              <w:t>. TỔNG CỤC TRƯỞNG</w:t>
            </w:r>
            <w:r w:rsidRPr="00063206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PHÓ TỔNG CỤC TRƯỞNG</w:t>
            </w:r>
            <w:r w:rsidRPr="00063206">
              <w:rPr>
                <w:b/>
                <w:bCs/>
                <w:sz w:val="26"/>
                <w:szCs w:val="26"/>
              </w:rPr>
              <w:br/>
            </w:r>
            <w:r w:rsidRPr="00063206">
              <w:rPr>
                <w:b/>
                <w:bCs/>
                <w:sz w:val="26"/>
                <w:szCs w:val="26"/>
              </w:rPr>
              <w:br/>
            </w:r>
          </w:p>
          <w:p w:rsidR="0079467D" w:rsidRPr="00063206" w:rsidRDefault="0079467D" w:rsidP="00554054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  <w:p w:rsidR="0079467D" w:rsidRPr="00063206" w:rsidRDefault="0079467D" w:rsidP="0079467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063206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Nguyễn Đại Trí</w:t>
            </w:r>
          </w:p>
        </w:tc>
      </w:tr>
    </w:tbl>
    <w:p w:rsidR="0079467D" w:rsidRDefault="0079467D" w:rsidP="00716CAC">
      <w:pPr>
        <w:spacing w:before="120" w:after="120"/>
        <w:jc w:val="both"/>
      </w:pPr>
    </w:p>
    <w:sectPr w:rsidR="0079467D" w:rsidSect="0018260A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A334E"/>
    <w:rsid w:val="0018260A"/>
    <w:rsid w:val="005270D6"/>
    <w:rsid w:val="00716CAC"/>
    <w:rsid w:val="0079467D"/>
    <w:rsid w:val="007A334E"/>
    <w:rsid w:val="00A44862"/>
    <w:rsid w:val="00E2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Thue</dc:creator>
  <cp:keywords/>
  <dc:description/>
  <cp:lastModifiedBy>Tong Cuc Thue</cp:lastModifiedBy>
  <cp:revision>3</cp:revision>
  <dcterms:created xsi:type="dcterms:W3CDTF">2018-07-13T07:44:00Z</dcterms:created>
  <dcterms:modified xsi:type="dcterms:W3CDTF">2018-07-13T08:18:00Z</dcterms:modified>
</cp:coreProperties>
</file>